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6B9" w:rsidRDefault="00B126B9">
      <w:pPr>
        <w:jc w:val="right"/>
        <w:rPr>
          <w:sz w:val="28"/>
        </w:rPr>
      </w:pPr>
    </w:p>
    <w:p w:rsidR="00B126B9" w:rsidRDefault="00B126B9">
      <w:pPr>
        <w:jc w:val="both"/>
        <w:rPr>
          <w:sz w:val="28"/>
        </w:rPr>
      </w:pPr>
    </w:p>
    <w:p w:rsidR="00B126B9" w:rsidRDefault="00B126B9">
      <w:pPr>
        <w:jc w:val="both"/>
        <w:rPr>
          <w:sz w:val="28"/>
        </w:rPr>
      </w:pPr>
    </w:p>
    <w:p w:rsidR="00B126B9" w:rsidRDefault="00B126B9">
      <w:pPr>
        <w:rPr>
          <w:sz w:val="28"/>
        </w:rPr>
      </w:pPr>
    </w:p>
    <w:p w:rsidR="00B126B9" w:rsidRDefault="00B126B9">
      <w:pPr>
        <w:jc w:val="both"/>
        <w:rPr>
          <w:sz w:val="28"/>
        </w:rPr>
      </w:pPr>
    </w:p>
    <w:p w:rsidR="00B126B9" w:rsidRDefault="00B126B9">
      <w:pPr>
        <w:jc w:val="both"/>
        <w:rPr>
          <w:sz w:val="28"/>
        </w:rPr>
      </w:pPr>
    </w:p>
    <w:p w:rsidR="00B126B9" w:rsidRDefault="00B126B9">
      <w:pPr>
        <w:jc w:val="both"/>
        <w:rPr>
          <w:sz w:val="28"/>
        </w:rPr>
      </w:pPr>
    </w:p>
    <w:p w:rsidR="00B126B9" w:rsidRDefault="00B126B9">
      <w:pPr>
        <w:jc w:val="both"/>
        <w:rPr>
          <w:sz w:val="28"/>
        </w:rPr>
      </w:pPr>
    </w:p>
    <w:p w:rsidR="00B126B9" w:rsidRDefault="00B126B9">
      <w:pPr>
        <w:tabs>
          <w:tab w:val="left" w:pos="8340"/>
        </w:tabs>
        <w:jc w:val="both"/>
        <w:rPr>
          <w:sz w:val="28"/>
        </w:rPr>
      </w:pPr>
    </w:p>
    <w:p w:rsidR="00B126B9" w:rsidRDefault="00B126B9">
      <w:pPr>
        <w:jc w:val="both"/>
        <w:rPr>
          <w:sz w:val="28"/>
        </w:rPr>
      </w:pPr>
    </w:p>
    <w:p w:rsidR="00B126B9" w:rsidRDefault="00B50589">
      <w:pPr>
        <w:jc w:val="center"/>
        <w:rPr>
          <w:b/>
          <w:sz w:val="28"/>
        </w:rPr>
      </w:pPr>
      <w:r>
        <w:rPr>
          <w:b/>
          <w:sz w:val="28"/>
        </w:rPr>
        <w:t>ЗАКЛЮЧЕНИЕ</w:t>
      </w:r>
    </w:p>
    <w:p w:rsidR="00B126B9" w:rsidRDefault="00B126B9">
      <w:pPr>
        <w:jc w:val="both"/>
        <w:rPr>
          <w:b/>
          <w:sz w:val="28"/>
        </w:rPr>
      </w:pPr>
    </w:p>
    <w:p w:rsidR="00B126B9" w:rsidRDefault="00B50589">
      <w:pPr>
        <w:jc w:val="both"/>
        <w:rPr>
          <w:sz w:val="28"/>
        </w:rPr>
      </w:pPr>
      <w:r>
        <w:rPr>
          <w:sz w:val="28"/>
        </w:rPr>
        <w:t xml:space="preserve">Комитета по бюджету и налогам по проекту федерального закона </w:t>
      </w:r>
      <w:r>
        <w:rPr>
          <w:sz w:val="28"/>
        </w:rPr>
        <w:br/>
      </w:r>
      <w:r>
        <w:rPr>
          <w:b/>
          <w:sz w:val="28"/>
        </w:rPr>
        <w:t xml:space="preserve">№ 1026190-8 «О внесении изменений в части первую и вторую Налогового кодекса Российской Федерации и отдельные законодательные акты Российской Федерации» </w:t>
      </w:r>
      <w:r>
        <w:rPr>
          <w:sz w:val="28"/>
        </w:rPr>
        <w:t>(в части реализации отдельных положений основных направлений налоговой политики), внесенному Правительством Российской Федерации</w:t>
      </w:r>
    </w:p>
    <w:p w:rsidR="00B126B9" w:rsidRDefault="00B50589">
      <w:pPr>
        <w:jc w:val="center"/>
        <w:rPr>
          <w:sz w:val="28"/>
        </w:rPr>
      </w:pPr>
      <w:r>
        <w:rPr>
          <w:sz w:val="28"/>
        </w:rPr>
        <w:t>(первое чтение)</w:t>
      </w:r>
    </w:p>
    <w:p w:rsidR="00B126B9" w:rsidRDefault="00B126B9">
      <w:pPr>
        <w:widowControl w:val="0"/>
        <w:jc w:val="both"/>
        <w:rPr>
          <w:sz w:val="28"/>
        </w:rPr>
      </w:pPr>
    </w:p>
    <w:p w:rsidR="00B126B9" w:rsidRDefault="00B50589">
      <w:pPr>
        <w:widowControl w:val="0"/>
        <w:spacing w:line="276" w:lineRule="auto"/>
        <w:ind w:firstLine="709"/>
        <w:jc w:val="both"/>
        <w:rPr>
          <w:sz w:val="28"/>
        </w:rPr>
      </w:pPr>
      <w:r>
        <w:rPr>
          <w:sz w:val="28"/>
        </w:rPr>
        <w:t>Рассмотрев проект федерального закона № 1026190-8 «О внесении изменений в части первую и вторую Налогового кодекса Российской Федерации и отдельные законодательные акты Российской Федерации», Комитет по бюджету и налогам отмечает следующее.</w:t>
      </w:r>
    </w:p>
    <w:p w:rsidR="00B126B9" w:rsidRDefault="00B50589">
      <w:pPr>
        <w:widowControl w:val="0"/>
        <w:spacing w:line="276" w:lineRule="auto"/>
        <w:ind w:firstLine="709"/>
        <w:jc w:val="both"/>
        <w:rPr>
          <w:sz w:val="28"/>
        </w:rPr>
      </w:pPr>
      <w:proofErr w:type="gramStart"/>
      <w:r>
        <w:rPr>
          <w:sz w:val="28"/>
        </w:rPr>
        <w:t>Согласно представленной пояснительной записке законопроект подготовлен во исполнение отдельных поручений Президента Российской Федерации и Правительства Российской Федерации, направлен на реализацию Основных направлений бюджетной, налоговой и таможенно-тарифной политики (далее - ОНБНТП).</w:t>
      </w:r>
      <w:proofErr w:type="gramEnd"/>
      <w:r>
        <w:rPr>
          <w:sz w:val="28"/>
        </w:rPr>
        <w:t xml:space="preserve"> Предлагаемые изменения во взаимосвязи с изменениями бюджетного законодательства направлены на обеспечение стабильности бюджетной системы, финансовое обеспечение приоритетных расходов, в том числе безусловного исполнения социальных обязательств государства, обеспечение обороноспособности и безопасности государства, достижение национальных целей развития.</w:t>
      </w:r>
    </w:p>
    <w:p w:rsidR="00B126B9" w:rsidRDefault="00B50589">
      <w:pPr>
        <w:widowControl w:val="0"/>
        <w:spacing w:line="276" w:lineRule="auto"/>
        <w:ind w:firstLine="709"/>
        <w:jc w:val="both"/>
        <w:rPr>
          <w:sz w:val="28"/>
        </w:rPr>
      </w:pPr>
      <w:r>
        <w:rPr>
          <w:sz w:val="28"/>
        </w:rPr>
        <w:t>Рассматриваемый проект федерального закона предусматривает внесение изменений в 35 глав Налогового кодекса Российской Федерации (далее - Налоговый кодекс).</w:t>
      </w:r>
    </w:p>
    <w:p w:rsidR="00B126B9" w:rsidRDefault="00B50589">
      <w:pPr>
        <w:widowControl w:val="0"/>
        <w:spacing w:line="276" w:lineRule="auto"/>
        <w:ind w:firstLine="709"/>
        <w:jc w:val="both"/>
        <w:rPr>
          <w:sz w:val="28"/>
        </w:rPr>
      </w:pPr>
      <w:r>
        <w:rPr>
          <w:b/>
          <w:sz w:val="28"/>
        </w:rPr>
        <w:t xml:space="preserve">1. В части налогового администрирования </w:t>
      </w:r>
      <w:r>
        <w:rPr>
          <w:sz w:val="28"/>
        </w:rPr>
        <w:t>законопроектом предусматривается ряд системных мер, направленных на улучшение качества администрирования с сопутствующим снижением административной нагрузки для налогоплательщиков и повышением собираемости налогов,</w:t>
      </w:r>
      <w:r>
        <w:rPr>
          <w:b/>
          <w:sz w:val="28"/>
        </w:rPr>
        <w:t xml:space="preserve"> </w:t>
      </w:r>
      <w:r>
        <w:rPr>
          <w:sz w:val="28"/>
        </w:rPr>
        <w:t>в частности:</w:t>
      </w:r>
    </w:p>
    <w:p w:rsidR="00B126B9" w:rsidRDefault="00B50589">
      <w:pPr>
        <w:widowControl w:val="0"/>
        <w:spacing w:line="276" w:lineRule="auto"/>
        <w:ind w:firstLine="709"/>
        <w:jc w:val="both"/>
        <w:rPr>
          <w:sz w:val="28"/>
        </w:rPr>
      </w:pPr>
      <w:r>
        <w:rPr>
          <w:sz w:val="28"/>
        </w:rPr>
        <w:lastRenderedPageBreak/>
        <w:t xml:space="preserve">- предусматривается оптимизация количества представляемых налогоплательщиками уведомлений </w:t>
      </w:r>
      <w:proofErr w:type="gramStart"/>
      <w:r>
        <w:rPr>
          <w:sz w:val="28"/>
        </w:rPr>
        <w:t>об исчисленных суммах налогов за счет возможности представления одного уведомления с планируемыми к уплате налогами вместо их систематического представления</w:t>
      </w:r>
      <w:proofErr w:type="gramEnd"/>
      <w:r>
        <w:rPr>
          <w:sz w:val="28"/>
        </w:rPr>
        <w:t xml:space="preserve"> и отмены таких уведомлений по имущественным налогам;</w:t>
      </w:r>
    </w:p>
    <w:p w:rsidR="00B126B9" w:rsidRDefault="00B50589">
      <w:pPr>
        <w:widowControl w:val="0"/>
        <w:spacing w:line="276" w:lineRule="auto"/>
        <w:ind w:firstLine="709"/>
        <w:jc w:val="both"/>
        <w:rPr>
          <w:sz w:val="28"/>
        </w:rPr>
      </w:pPr>
      <w:r>
        <w:rPr>
          <w:sz w:val="28"/>
        </w:rPr>
        <w:t>- расширяется сфера применения информационных технологий в налоговом администрировании в целях снижения издержек налогоплательщиков (устанавливается возможность рассмотрения материалов налоговой проверки с использованием видео-конференц-связи, налогоплательщику предоставляется право подавать возражения на акт проверки в электронной форме);</w:t>
      </w:r>
    </w:p>
    <w:p w:rsidR="00B126B9" w:rsidRDefault="00B50589">
      <w:pPr>
        <w:widowControl w:val="0"/>
        <w:spacing w:line="276" w:lineRule="auto"/>
        <w:ind w:firstLine="709"/>
        <w:jc w:val="both"/>
        <w:rPr>
          <w:sz w:val="28"/>
        </w:rPr>
      </w:pPr>
      <w:r>
        <w:rPr>
          <w:sz w:val="28"/>
        </w:rPr>
        <w:t>- совершенствуются условия предоставления отсрочки (рассрочки, инвестиционного налогового кредита) посредством сокращения количества представляемых налогоплательщиками документов, повышения ее доступности для сезонного бизнеса и соразмерности отдельных обстоятельств, препятствующих ее предоставлению, а также увеличения срока инвестиционного налогового кредита с 5 до 10 лет;</w:t>
      </w:r>
    </w:p>
    <w:p w:rsidR="00B126B9" w:rsidRDefault="00B50589">
      <w:pPr>
        <w:widowControl w:val="0"/>
        <w:spacing w:line="276" w:lineRule="auto"/>
        <w:ind w:firstLine="709"/>
        <w:jc w:val="both"/>
        <w:rPr>
          <w:sz w:val="28"/>
        </w:rPr>
      </w:pPr>
      <w:r>
        <w:rPr>
          <w:sz w:val="28"/>
        </w:rPr>
        <w:t>- повышается доступность налогового мониторинга для субъектов малого и среднего бизнеса за счет допущения соответствия кандидата только одному из установленных критериев (объем выручки, величина активов, размер уплаченных налогов);</w:t>
      </w:r>
    </w:p>
    <w:p w:rsidR="00B126B9" w:rsidRDefault="00B50589">
      <w:pPr>
        <w:widowControl w:val="0"/>
        <w:spacing w:line="276" w:lineRule="auto"/>
        <w:ind w:firstLine="709"/>
        <w:jc w:val="both"/>
        <w:rPr>
          <w:sz w:val="28"/>
        </w:rPr>
      </w:pPr>
      <w:r>
        <w:rPr>
          <w:sz w:val="28"/>
        </w:rPr>
        <w:t>- предусматривается возможность рассмотрения жалоб налогоплательщиков в экстерриториальном порядке в целях повышения качества и уровня специализации их рассмотрения.</w:t>
      </w:r>
    </w:p>
    <w:p w:rsidR="00B126B9" w:rsidRDefault="00B50589">
      <w:pPr>
        <w:widowControl w:val="0"/>
        <w:spacing w:line="276" w:lineRule="auto"/>
        <w:ind w:firstLine="709"/>
        <w:jc w:val="both"/>
        <w:rPr>
          <w:sz w:val="28"/>
        </w:rPr>
      </w:pPr>
      <w:proofErr w:type="gramStart"/>
      <w:r>
        <w:rPr>
          <w:sz w:val="28"/>
        </w:rPr>
        <w:t>При этом в рамках подготовки законопроекта к рассмотрению во втором чтении в части</w:t>
      </w:r>
      <w:proofErr w:type="gramEnd"/>
      <w:r>
        <w:rPr>
          <w:sz w:val="28"/>
        </w:rPr>
        <w:t xml:space="preserve"> положений, касающихся налогового администрирования, Комитет предлагает обратить внимание на следующие вопросы:</w:t>
      </w:r>
    </w:p>
    <w:p w:rsidR="00B126B9" w:rsidRDefault="00B50589">
      <w:pPr>
        <w:widowControl w:val="0"/>
        <w:spacing w:line="276" w:lineRule="auto"/>
        <w:ind w:firstLine="709"/>
        <w:jc w:val="both"/>
        <w:rPr>
          <w:sz w:val="28"/>
        </w:rPr>
      </w:pPr>
      <w:r>
        <w:rPr>
          <w:sz w:val="28"/>
        </w:rPr>
        <w:t xml:space="preserve">1) законопроектом исключается применение стабилизационных оговорок в отношении налогоплательщиков - резидентов преференциальных режимов экономической деятельности в части налога на прибыль организаций, взимаемого с участников международных групп в размере, необходимом для достижения минимального уровня налогообложения. </w:t>
      </w:r>
      <w:proofErr w:type="gramStart"/>
      <w:r>
        <w:rPr>
          <w:sz w:val="28"/>
        </w:rPr>
        <w:t>При этом требуется унифицировать рассматриваемые положения законопроекта с Федеральным законом «О внесении изменений в статью 5 части первой Налогового кодекса Российской Федерации» (проект № 936458-8), принятым Государственной Думой 7 октября 2025 года, дополняющим статью 5 Налогового кодекса новой стабилизационной оговоркой для резидентов особой экономической зоны в Калининградской области.</w:t>
      </w:r>
      <w:proofErr w:type="gramEnd"/>
    </w:p>
    <w:p w:rsidR="00B126B9" w:rsidRDefault="00B50589">
      <w:pPr>
        <w:widowControl w:val="0"/>
        <w:spacing w:line="276" w:lineRule="auto"/>
        <w:ind w:firstLine="709"/>
        <w:jc w:val="both"/>
        <w:rPr>
          <w:sz w:val="28"/>
        </w:rPr>
      </w:pPr>
      <w:r>
        <w:rPr>
          <w:sz w:val="28"/>
        </w:rPr>
        <w:lastRenderedPageBreak/>
        <w:t>Также требует дополнительного обсуждения допустимость предусмотренной частью 16 статьи 13 законопроекта обратной силы указанного положения и его распространения на налогоплательщиков, получивших статус резидентов до дня вступления в силу проектируемой нормы об ограничении стабилизационной оговорки;</w:t>
      </w:r>
    </w:p>
    <w:p w:rsidR="00B126B9" w:rsidRDefault="00B50589">
      <w:pPr>
        <w:widowControl w:val="0"/>
        <w:spacing w:line="276" w:lineRule="auto"/>
        <w:ind w:firstLine="709"/>
        <w:jc w:val="both"/>
        <w:rPr>
          <w:sz w:val="28"/>
        </w:rPr>
      </w:pPr>
      <w:r>
        <w:rPr>
          <w:sz w:val="28"/>
        </w:rPr>
        <w:t>2) законопроектом предлагается изменить порядок исчисления сроков в части срока уплаты налогов, установив, что, если последний день срока уплаты приходится на нерабочий день, то он переносится на предшествующий рабочий день.</w:t>
      </w:r>
    </w:p>
    <w:p w:rsidR="00B126B9" w:rsidRDefault="00B50589">
      <w:pPr>
        <w:widowControl w:val="0"/>
        <w:spacing w:line="276" w:lineRule="auto"/>
        <w:ind w:firstLine="709"/>
        <w:jc w:val="both"/>
        <w:rPr>
          <w:sz w:val="28"/>
        </w:rPr>
      </w:pPr>
      <w:r>
        <w:rPr>
          <w:sz w:val="28"/>
        </w:rPr>
        <w:t xml:space="preserve">При этом аналогичное правило не устанавливается для сборов и страховых взносов, в </w:t>
      </w:r>
      <w:proofErr w:type="gramStart"/>
      <w:r>
        <w:rPr>
          <w:sz w:val="28"/>
        </w:rPr>
        <w:t>связи</w:t>
      </w:r>
      <w:proofErr w:type="gramEnd"/>
      <w:r>
        <w:rPr>
          <w:sz w:val="28"/>
        </w:rPr>
        <w:t xml:space="preserve"> с чем возникает вопрос о соответствии такого подхода правилу об уплате всех налогов (сборов и страховых взносов) в качестве единого налогового платежа, что предполагает единый срок уплаты всех установленных Налоговым кодексом обязательных платежей. Также, учитывая, что срок представления налоговой отчетности не меняется, следует оценить соответствие проектируемого регулирования требованию о том, что в условиях учета всех платежей и обязательств на едином налоговом счете (далее - ЕНС) срок представления налоговой отчетности должен предшествовать сроку уплаты налогов в целях корректного определения принадлежности единого налогового платежа;</w:t>
      </w:r>
    </w:p>
    <w:p w:rsidR="00B126B9" w:rsidRDefault="00B50589">
      <w:pPr>
        <w:widowControl w:val="0"/>
        <w:spacing w:line="276" w:lineRule="auto"/>
        <w:ind w:firstLine="709"/>
        <w:jc w:val="both"/>
        <w:rPr>
          <w:sz w:val="28"/>
        </w:rPr>
      </w:pPr>
      <w:r>
        <w:rPr>
          <w:sz w:val="28"/>
        </w:rPr>
        <w:t>3) законопроект содержит отдельные положения, предусматривающие уточнение понятий и терминов, используемых в Налоговом кодексе. В частности, уточняется понятие «сезонное производство». Данное понятие предлагается применять в отношении организаций и индивидуальных предпринимателей, деятельность которых снижается более чем на 50 процентов, в том числе ввиду снижения спроса на производимые товары (работы услуги). Вместе с тем, учитывая, что снижение спроса может быть вызвано различными факторами, такое расширение понятия «сезонное производство» необходимо соотнести с его определением в качестве «производства, осуществление которого непосредственно связано с природными, климатическими условиями и со временем года» (проектируемый абзац двадцатый пункта 2 статьи 11 Налогового кодекса);</w:t>
      </w:r>
    </w:p>
    <w:p w:rsidR="00B126B9" w:rsidRDefault="00B50589">
      <w:pPr>
        <w:widowControl w:val="0"/>
        <w:spacing w:line="276" w:lineRule="auto"/>
        <w:ind w:firstLine="709"/>
        <w:jc w:val="both"/>
        <w:rPr>
          <w:sz w:val="28"/>
        </w:rPr>
      </w:pPr>
      <w:r>
        <w:rPr>
          <w:sz w:val="28"/>
        </w:rPr>
        <w:t>4) законопроектом предлагается уточнить порядок учета на ЕНС обязанности, возникшей на основании отдельных решений налогового органа.</w:t>
      </w:r>
    </w:p>
    <w:p w:rsidR="00B126B9" w:rsidRDefault="00B50589">
      <w:pPr>
        <w:widowControl w:val="0"/>
        <w:spacing w:line="276" w:lineRule="auto"/>
        <w:ind w:firstLine="709"/>
        <w:jc w:val="both"/>
        <w:rPr>
          <w:sz w:val="28"/>
        </w:rPr>
      </w:pPr>
      <w:r>
        <w:rPr>
          <w:sz w:val="28"/>
        </w:rPr>
        <w:t>Так, решение об отмене решения о предоставлении налогового вычета предлагается учитывать по истечении 30 календарных дней со дня его получения налогоплательщиком. При этом начало течения указанного срока не соотносится с основной нормой абзаца третьего пункта 7 статьи 221</w:t>
      </w:r>
      <w:r>
        <w:rPr>
          <w:sz w:val="28"/>
          <w:vertAlign w:val="superscript"/>
        </w:rPr>
        <w:t>1</w:t>
      </w:r>
      <w:r>
        <w:rPr>
          <w:sz w:val="28"/>
        </w:rPr>
        <w:t xml:space="preserve"> </w:t>
      </w:r>
      <w:r>
        <w:rPr>
          <w:sz w:val="28"/>
        </w:rPr>
        <w:lastRenderedPageBreak/>
        <w:t>Налогового кодекса, устанавливающей указанный срок для добровольной уплаты излишне полученных сумм налога в связи с предоставлением налогового вычета со дня направления налогоплательщику такого решения.</w:t>
      </w:r>
    </w:p>
    <w:p w:rsidR="00B126B9" w:rsidRDefault="00B50589">
      <w:pPr>
        <w:widowControl w:val="0"/>
        <w:spacing w:line="276" w:lineRule="auto"/>
        <w:ind w:firstLine="709"/>
        <w:jc w:val="both"/>
        <w:rPr>
          <w:sz w:val="28"/>
        </w:rPr>
      </w:pPr>
      <w:proofErr w:type="gramStart"/>
      <w:r>
        <w:rPr>
          <w:sz w:val="28"/>
        </w:rPr>
        <w:t>Комитет считает целесообразным согласовать проектируемую норму с положениями Федерального закона от 31.07.2025 № 287-ФЗ «О внесении изменений в часть первую Налогового кодекса Российской Федерации и Федеральный закон «Об исполнительном производстве» (далее – Федеральный закон № 287-ФЗ) в части учета такого решения в совокупной обязанности в случае подачи физическим лицом жалобы, внесения корреспондирующих правок в понятие «задолженность», а также в статью 78 Налогового кодекса.</w:t>
      </w:r>
      <w:proofErr w:type="gramEnd"/>
    </w:p>
    <w:p w:rsidR="00B126B9" w:rsidRDefault="00B50589">
      <w:pPr>
        <w:widowControl w:val="0"/>
        <w:spacing w:line="276" w:lineRule="auto"/>
        <w:ind w:firstLine="709"/>
        <w:jc w:val="both"/>
        <w:rPr>
          <w:sz w:val="28"/>
        </w:rPr>
      </w:pPr>
      <w:r>
        <w:rPr>
          <w:sz w:val="28"/>
        </w:rPr>
        <w:t>Кроме того, уточняется порядок учета на ЕНС исполнительных документов о взыскании государственной пошлины. При этом, принимая во внимание общий срок такого учета со дня выдачи судом исполнительного документа, следует дополнительно обсудить целесообразность срока, предусмотренного проектируемым абзацем вторым подпункта 12 пункта 5 статьи 11</w:t>
      </w:r>
      <w:r>
        <w:rPr>
          <w:sz w:val="28"/>
          <w:vertAlign w:val="superscript"/>
        </w:rPr>
        <w:t xml:space="preserve">3 </w:t>
      </w:r>
      <w:r>
        <w:rPr>
          <w:sz w:val="28"/>
        </w:rPr>
        <w:t>Налогового кодекса;</w:t>
      </w:r>
    </w:p>
    <w:p w:rsidR="00B126B9" w:rsidRDefault="00B50589">
      <w:pPr>
        <w:widowControl w:val="0"/>
        <w:spacing w:line="276" w:lineRule="auto"/>
        <w:ind w:firstLine="709"/>
        <w:jc w:val="both"/>
        <w:rPr>
          <w:sz w:val="28"/>
        </w:rPr>
      </w:pPr>
      <w:r>
        <w:rPr>
          <w:sz w:val="28"/>
        </w:rPr>
        <w:t>5) законопроект предусматривает признание единым налоговым платежом сумм, зачтенных в счет исполнения предстоящей обязанности на основании уведомлений и расчетов по налогу на доходы физических лиц (далее - НДФЛ) и страховым взносам, если в последующем они корректируются в сторону уменьшения. При этом не учтено, что пункт 7 статьи 78 Налогового кодекса не предусматривает зачет на основе расчетов по НДФЛ.</w:t>
      </w:r>
    </w:p>
    <w:p w:rsidR="00B126B9" w:rsidRDefault="00B50589">
      <w:pPr>
        <w:widowControl w:val="0"/>
        <w:spacing w:line="276" w:lineRule="auto"/>
        <w:ind w:firstLine="709"/>
        <w:jc w:val="both"/>
        <w:rPr>
          <w:sz w:val="28"/>
        </w:rPr>
      </w:pPr>
      <w:r>
        <w:rPr>
          <w:sz w:val="28"/>
        </w:rPr>
        <w:t xml:space="preserve">Также, принимая во внимание, что такой зачет в силу пункта 8 </w:t>
      </w:r>
      <w:r>
        <w:rPr>
          <w:sz w:val="28"/>
        </w:rPr>
        <w:br/>
        <w:t>статьи 78 Налогового кодекса может осуществляться на основании налоговых уведомлений, следует проработать вопрос о распространении аналогичного механизма на случаи перерасчета сумм налогов, указанных в налоговом уведомлении, в отношении которых был произведен зачет;</w:t>
      </w:r>
    </w:p>
    <w:p w:rsidR="00B126B9" w:rsidRDefault="00B50589">
      <w:pPr>
        <w:widowControl w:val="0"/>
        <w:spacing w:line="276" w:lineRule="auto"/>
        <w:ind w:firstLine="709"/>
        <w:jc w:val="both"/>
        <w:rPr>
          <w:sz w:val="28"/>
        </w:rPr>
      </w:pPr>
      <w:r>
        <w:rPr>
          <w:sz w:val="28"/>
        </w:rPr>
        <w:t>6) предусматривается возможность исключения из совокупной обязанности сумм задолженности, указанных не только в решениях о привлечении к ответственности (отказе в привлечении к ответственности) за совершение налогового правонарушения, но и в любом другом акте налогового органа, в случае принятия судом обеспечительных мер или приостановления вышестоящим налоговым органом его исполнения. При этом не учтено, что в соответствии с пунктом 5 статьи 138 Налогового кодекса вышестоящий налоговый орган может приостанавливать исполнение только указанных решений, а не любых актов налогового органа;</w:t>
      </w:r>
    </w:p>
    <w:p w:rsidR="00B126B9" w:rsidRDefault="00B50589">
      <w:pPr>
        <w:widowControl w:val="0"/>
        <w:spacing w:line="276" w:lineRule="auto"/>
        <w:ind w:firstLine="709"/>
        <w:jc w:val="both"/>
        <w:rPr>
          <w:sz w:val="28"/>
        </w:rPr>
      </w:pPr>
      <w:r>
        <w:rPr>
          <w:sz w:val="28"/>
        </w:rPr>
        <w:t xml:space="preserve">7) законопроектом предлагается предоставить налоговым органам </w:t>
      </w:r>
      <w:r>
        <w:rPr>
          <w:sz w:val="28"/>
        </w:rPr>
        <w:lastRenderedPageBreak/>
        <w:t xml:space="preserve">полномочия производить выемку документов и предметов на стадии рассмотрения материалов налоговой проверки и проведения налогового мониторинга. </w:t>
      </w:r>
      <w:proofErr w:type="gramStart"/>
      <w:r>
        <w:rPr>
          <w:sz w:val="28"/>
        </w:rPr>
        <w:t>При этом, учитывая, что целью стадии рассмотрения материалов налоговой проверки является вынесение итогового решения по делу на основании анализа всех установленных обстоятельств дела, а налоговый мониторинг предполагает расширенное информационное взаимодействие и доступ налоговых органов к информационным системам налогоплательщиков в режиме реального времени, предлагается рассмотреть целесообразность установления проектируемых полномочий налоговых органов только в рамках проведения дополнительных мероприятий налогового контроля.</w:t>
      </w:r>
      <w:proofErr w:type="gramEnd"/>
    </w:p>
    <w:p w:rsidR="00B126B9" w:rsidRDefault="00B50589">
      <w:pPr>
        <w:widowControl w:val="0"/>
        <w:spacing w:line="276" w:lineRule="auto"/>
        <w:ind w:firstLine="709"/>
        <w:jc w:val="both"/>
        <w:rPr>
          <w:sz w:val="28"/>
        </w:rPr>
      </w:pPr>
      <w:r>
        <w:rPr>
          <w:sz w:val="28"/>
        </w:rPr>
        <w:t>Также законопроектом исключается указание на то, что уведомление о вызове налогоплательщика в налоговый орган должно быть письменным. Представляется, что, если речь идет об электронной форме направления такого уведомления, это следует прямо уточнить в целях минимизации споров относительно формы и порядка уведомления налогоплательщиков;</w:t>
      </w:r>
    </w:p>
    <w:p w:rsidR="00B126B9" w:rsidRDefault="00B50589">
      <w:pPr>
        <w:widowControl w:val="0"/>
        <w:spacing w:line="276" w:lineRule="auto"/>
        <w:ind w:firstLine="709"/>
        <w:jc w:val="both"/>
        <w:rPr>
          <w:sz w:val="28"/>
        </w:rPr>
      </w:pPr>
      <w:r>
        <w:rPr>
          <w:sz w:val="28"/>
        </w:rPr>
        <w:t>8) законопроектом предлагается уточнить отдельные условия взыскания налоговой задолженности.</w:t>
      </w:r>
    </w:p>
    <w:p w:rsidR="00B126B9" w:rsidRDefault="00B50589">
      <w:pPr>
        <w:widowControl w:val="0"/>
        <w:spacing w:line="276" w:lineRule="auto"/>
        <w:ind w:firstLine="709"/>
        <w:jc w:val="both"/>
        <w:rPr>
          <w:sz w:val="28"/>
        </w:rPr>
      </w:pPr>
      <w:r>
        <w:rPr>
          <w:sz w:val="28"/>
        </w:rPr>
        <w:t>В статье 46 Налогового кодекса устанавливается возможность обращения взыскания на счета правопреемника реорганизованной организации в пределах отрицательного сальдо ЕНС. В связи с этим ко второму чтению следует обсудить целесообразность распространения данного правила на способы обеспечения исполнения обязанности (например, на статью 76 Налогового кодекса о приостановлении операций по счетам правопреемника организации, в отношении которой налоговым органом была применена такая мера, для обеспечения непрерывности процедуры взыскания задолженности).</w:t>
      </w:r>
    </w:p>
    <w:p w:rsidR="00B126B9" w:rsidRDefault="00B50589">
      <w:pPr>
        <w:widowControl w:val="0"/>
        <w:spacing w:line="276" w:lineRule="auto"/>
        <w:ind w:firstLine="709"/>
        <w:jc w:val="both"/>
        <w:rPr>
          <w:sz w:val="28"/>
        </w:rPr>
      </w:pPr>
      <w:r>
        <w:rPr>
          <w:sz w:val="28"/>
        </w:rPr>
        <w:t>Также законопроектом устанавливается, что взыскание задолженности с несовершеннолетних производится за счет имущества законных представителей. При этом не учитывается, что у несовершеннолетнего может быть собственное имущество, а в силу статьи 26 Гражданского кодекса Российской Федерации они могут самостоятельно распоряжаться своими заработком, стипендией и иными доходами, а также открывать счета в банках. В связи с этим указанная проектируемая норма требует дополнительного обоснования;</w:t>
      </w:r>
    </w:p>
    <w:p w:rsidR="00B126B9" w:rsidRDefault="00B50589">
      <w:pPr>
        <w:widowControl w:val="0"/>
        <w:spacing w:line="276" w:lineRule="auto"/>
        <w:ind w:firstLine="709"/>
        <w:jc w:val="both"/>
        <w:rPr>
          <w:sz w:val="28"/>
        </w:rPr>
      </w:pPr>
      <w:r>
        <w:rPr>
          <w:sz w:val="28"/>
        </w:rPr>
        <w:t xml:space="preserve">9) законопроектом абзац третий пункта 1 статьи 54 Налогового кодекса дополняется уточнением, что в случае, когда совершенная налогоплательщиком ошибка привела к излишней уплате налога, не допускается производить перерасчет налоговой базы за налоговый период </w:t>
      </w:r>
      <w:r>
        <w:rPr>
          <w:sz w:val="28"/>
        </w:rPr>
        <w:lastRenderedPageBreak/>
        <w:t>выявления ошибки, если в этом налоговом периоде произошло увеличение ставки налога. По мнению Комитета, при подготовке законопроекта ко второму чтению целесообразно обсудить допустимость придания такому проектируемому регулированию обратной силы (часть 15 статьи 13 законопроекта) и оценить возможные последствия его применения к исчислению налоговой базы по налогу на добавленную стоимость;</w:t>
      </w:r>
    </w:p>
    <w:p w:rsidR="00B126B9" w:rsidRDefault="00B50589">
      <w:pPr>
        <w:widowControl w:val="0"/>
        <w:spacing w:line="276" w:lineRule="auto"/>
        <w:ind w:firstLine="709"/>
        <w:jc w:val="both"/>
        <w:rPr>
          <w:sz w:val="28"/>
        </w:rPr>
      </w:pPr>
      <w:r>
        <w:rPr>
          <w:sz w:val="28"/>
        </w:rPr>
        <w:t>10) законопроектом уточняется порядок списания налоговой задолженности в связи со смертью физического лица.</w:t>
      </w:r>
    </w:p>
    <w:p w:rsidR="00B126B9" w:rsidRDefault="00B50589">
      <w:pPr>
        <w:widowControl w:val="0"/>
        <w:spacing w:line="276" w:lineRule="auto"/>
        <w:ind w:firstLine="709"/>
        <w:jc w:val="both"/>
        <w:rPr>
          <w:sz w:val="28"/>
        </w:rPr>
      </w:pPr>
      <w:r>
        <w:rPr>
          <w:sz w:val="28"/>
        </w:rPr>
        <w:t>Так, предлагается не списывать задолженность по всем налоговым обязательствам умершего физического лица в случае, если в отношении него возбуждено дело о банкротстве. При этом такое проектируемое регулирование вступает в противоречие с подпунктом 3 пункта 3 статьи 44 Налогового кодекса, предусматривающим прекращение обязанности по уплате налогов (кроме имущественных налогов) со смертью физического лица, что требует соответствующего уточнения.</w:t>
      </w:r>
    </w:p>
    <w:p w:rsidR="00B126B9" w:rsidRDefault="00B50589">
      <w:pPr>
        <w:widowControl w:val="0"/>
        <w:spacing w:line="276" w:lineRule="auto"/>
        <w:ind w:firstLine="709"/>
        <w:jc w:val="both"/>
        <w:rPr>
          <w:sz w:val="28"/>
        </w:rPr>
      </w:pPr>
      <w:r>
        <w:rPr>
          <w:sz w:val="28"/>
        </w:rPr>
        <w:t>Кроме того, согласно проектируемому пункту 1</w:t>
      </w:r>
      <w:r>
        <w:rPr>
          <w:sz w:val="28"/>
          <w:vertAlign w:val="superscript"/>
        </w:rPr>
        <w:t>4</w:t>
      </w:r>
      <w:r>
        <w:rPr>
          <w:sz w:val="28"/>
        </w:rPr>
        <w:t xml:space="preserve"> статьи 59 Налогового кодекса в случае поступления информации о факте наследования имущества задолженность подлежит восстановлению в течение 3 лет со дня «такого поступления». Представляется, что такой значительный срок восстановления задолженности в совокупной обязанности не отвечает интересам бюджета и наследников и требует дополнительного обоснования.</w:t>
      </w:r>
    </w:p>
    <w:p w:rsidR="00B126B9" w:rsidRDefault="00B50589">
      <w:pPr>
        <w:widowControl w:val="0"/>
        <w:spacing w:line="276" w:lineRule="auto"/>
        <w:ind w:firstLine="709"/>
        <w:jc w:val="both"/>
        <w:rPr>
          <w:sz w:val="28"/>
        </w:rPr>
      </w:pPr>
      <w:r>
        <w:rPr>
          <w:sz w:val="28"/>
        </w:rPr>
        <w:t>Комитет также обращает внимание, что в действующем налоговом законодательстве отсутствует механизм информирования наследников (нотариусов) о размере сальдо ЕНС наследодателя в целях определения прав и обязанностей наследников;</w:t>
      </w:r>
    </w:p>
    <w:p w:rsidR="00B126B9" w:rsidRDefault="00B50589">
      <w:pPr>
        <w:widowControl w:val="0"/>
        <w:spacing w:line="276" w:lineRule="auto"/>
        <w:ind w:firstLine="709"/>
        <w:jc w:val="both"/>
        <w:rPr>
          <w:sz w:val="28"/>
        </w:rPr>
      </w:pPr>
      <w:r>
        <w:rPr>
          <w:sz w:val="28"/>
        </w:rPr>
        <w:t xml:space="preserve">11) законопроектом совершенствуется институт изменения срока уплаты налоговых платежей в целях </w:t>
      </w:r>
      <w:proofErr w:type="spellStart"/>
      <w:r>
        <w:rPr>
          <w:sz w:val="28"/>
        </w:rPr>
        <w:t>донастройки</w:t>
      </w:r>
      <w:proofErr w:type="spellEnd"/>
      <w:r>
        <w:rPr>
          <w:sz w:val="28"/>
        </w:rPr>
        <w:t xml:space="preserve"> данного института.</w:t>
      </w:r>
    </w:p>
    <w:p w:rsidR="00B126B9" w:rsidRDefault="00B50589">
      <w:pPr>
        <w:widowControl w:val="0"/>
        <w:spacing w:line="276" w:lineRule="auto"/>
        <w:ind w:firstLine="709"/>
        <w:jc w:val="both"/>
        <w:rPr>
          <w:sz w:val="28"/>
        </w:rPr>
      </w:pPr>
      <w:r>
        <w:rPr>
          <w:sz w:val="28"/>
        </w:rPr>
        <w:t xml:space="preserve">В частности, предлагается установить, что проведение производства по делу о налоговом правонарушении (административном правонарушении), учитывается в качестве обстоятельства, препятствующего предоставлению отсрочки (рассрочки, инвестиционного налогового кредита), если сумма доначисляемой задолженности (недоимки, пеней, штрафа и процентов) соразмерна сумме, в отношении которой запрашивается изменение срока уплаты. </w:t>
      </w:r>
    </w:p>
    <w:p w:rsidR="00B126B9" w:rsidRDefault="00B50589">
      <w:pPr>
        <w:widowControl w:val="0"/>
        <w:spacing w:line="276" w:lineRule="auto"/>
        <w:ind w:firstLine="709"/>
        <w:jc w:val="both"/>
        <w:rPr>
          <w:sz w:val="28"/>
        </w:rPr>
      </w:pPr>
      <w:r>
        <w:rPr>
          <w:sz w:val="28"/>
        </w:rPr>
        <w:t xml:space="preserve">При этом проектируемым подпунктом 7 пункта 1 статьи 62 Налогового кодекса фактически продлевается период действия данного препятствия вплоть </w:t>
      </w:r>
      <w:proofErr w:type="gramStart"/>
      <w:r>
        <w:rPr>
          <w:sz w:val="28"/>
        </w:rPr>
        <w:t>до вступления в силу решения о привлечении к ответственности за совершение</w:t>
      </w:r>
      <w:proofErr w:type="gramEnd"/>
      <w:r>
        <w:rPr>
          <w:sz w:val="28"/>
        </w:rPr>
        <w:t xml:space="preserve"> налогового правонарушения. Представляется, что наличие такого решения является несправедливым препятствием для изменения </w:t>
      </w:r>
      <w:r>
        <w:rPr>
          <w:sz w:val="28"/>
        </w:rPr>
        <w:lastRenderedPageBreak/>
        <w:t xml:space="preserve">сроков уплаты, если оно не обжалуется налогоплательщиком. </w:t>
      </w:r>
    </w:p>
    <w:p w:rsidR="00B126B9" w:rsidRDefault="00B50589">
      <w:pPr>
        <w:widowControl w:val="0"/>
        <w:spacing w:line="276" w:lineRule="auto"/>
        <w:ind w:firstLine="709"/>
        <w:jc w:val="both"/>
        <w:rPr>
          <w:sz w:val="28"/>
        </w:rPr>
      </w:pPr>
      <w:proofErr w:type="gramStart"/>
      <w:r>
        <w:rPr>
          <w:sz w:val="28"/>
        </w:rPr>
        <w:t>Также следует учитывать, что в силу пункта 3 статьи 100 и пункта 8 статьи 101 Налогового кодекса размер пеней не указывается ни в акте налоговой проверки, ни в решении о привлечении к ответственности за совершение налогового правонарушения, поскольку размер пеней может быть определен только после вступления в силу такого решения и учета его на ЕНС.</w:t>
      </w:r>
      <w:proofErr w:type="gramEnd"/>
      <w:r>
        <w:rPr>
          <w:sz w:val="28"/>
        </w:rPr>
        <w:t xml:space="preserve"> В соответствии с частью 2 статьи 28</w:t>
      </w:r>
      <w:r>
        <w:rPr>
          <w:sz w:val="28"/>
          <w:vertAlign w:val="superscript"/>
        </w:rPr>
        <w:t>2</w:t>
      </w:r>
      <w:r>
        <w:rPr>
          <w:sz w:val="28"/>
        </w:rPr>
        <w:t xml:space="preserve"> Кодекса Российской Федерации об административных правонарушениях в протоколе об административном правонарушении не указывается размер административного штрафа. Кроме того, законопроект не учитывает, что дела о налоговых правонарушениях также могут рассматриваться в порядке статьи 101</w:t>
      </w:r>
      <w:r>
        <w:rPr>
          <w:sz w:val="28"/>
          <w:vertAlign w:val="superscript"/>
        </w:rPr>
        <w:t>4</w:t>
      </w:r>
      <w:r>
        <w:rPr>
          <w:sz w:val="28"/>
        </w:rPr>
        <w:t xml:space="preserve"> Налогового кодекса без проведения налоговой проверки. В связи с этим проектируемые нормы нуждаются в уточнении. </w:t>
      </w:r>
    </w:p>
    <w:p w:rsidR="00B126B9" w:rsidRDefault="00B50589">
      <w:pPr>
        <w:widowControl w:val="0"/>
        <w:spacing w:line="276" w:lineRule="auto"/>
        <w:ind w:firstLine="709"/>
        <w:jc w:val="both"/>
        <w:rPr>
          <w:sz w:val="28"/>
        </w:rPr>
      </w:pPr>
      <w:r>
        <w:rPr>
          <w:sz w:val="28"/>
        </w:rPr>
        <w:t>Комитет поддерживает увеличение предельно возможного срока предоставления инвестиционного налогового кредита с 5 до 10 лет, что обеспечит дополнительный источник оборотных сре</w:t>
      </w:r>
      <w:proofErr w:type="gramStart"/>
      <w:r>
        <w:rPr>
          <w:sz w:val="28"/>
        </w:rPr>
        <w:t>дств дл</w:t>
      </w:r>
      <w:proofErr w:type="gramEnd"/>
      <w:r>
        <w:rPr>
          <w:sz w:val="28"/>
        </w:rPr>
        <w:t xml:space="preserve">я реализации значимых инвестиционных проектов. При этом обращаем внимание, что изменяется срок вынесения налоговым органом решения о предоставлении инвестиционного налогового кредита не ранее дня получения согласования финансовыми органами субъекта Российской Федерации и муниципальных образований. Однако срок такого согласования Налоговым кодексом не установлен. </w:t>
      </w:r>
    </w:p>
    <w:p w:rsidR="00B126B9" w:rsidRDefault="00B50589">
      <w:pPr>
        <w:widowControl w:val="0"/>
        <w:spacing w:line="276" w:lineRule="auto"/>
        <w:ind w:firstLine="709"/>
        <w:jc w:val="both"/>
        <w:rPr>
          <w:sz w:val="28"/>
        </w:rPr>
      </w:pPr>
      <w:r>
        <w:rPr>
          <w:sz w:val="28"/>
        </w:rPr>
        <w:t>Таким образом, при доработке законопроекта ко второму чтению необходимо обсудить установление срока согласования финансовыми органами предоставления инвестиционного кредита. Также следует предусмотреть в законопроекте порядок информирования налогоплательщика об отказе в согласовании указанными органами инвестиционного налогового кредита.</w:t>
      </w:r>
    </w:p>
    <w:p w:rsidR="00B126B9" w:rsidRDefault="00B50589">
      <w:pPr>
        <w:widowControl w:val="0"/>
        <w:spacing w:line="276" w:lineRule="auto"/>
        <w:ind w:firstLine="709"/>
        <w:jc w:val="both"/>
        <w:rPr>
          <w:sz w:val="28"/>
        </w:rPr>
      </w:pPr>
      <w:r>
        <w:rPr>
          <w:sz w:val="28"/>
        </w:rPr>
        <w:t>Для снижения административной нагрузки на налогоплательщиков при обращении за отсрочкой (рассрочкой) предлагается исключить представление ими справок об оборотах денежных средств и наличии расчетных документов, поскольку планируется, что налоговый орган будет сам запрашивать указанные справки у банков (проектируемый абзац седьмой пункта 2 статьи 86 Налогового кодекса). При этом указанная норма требует обсуждения необходимости внесения корреспондирующих изменений в статью 26 Федерального закона от 02.12.1990 № 395-1 «О банках и банковской деятельности», регулирующую режим банковской тайны;</w:t>
      </w:r>
    </w:p>
    <w:p w:rsidR="00B126B9" w:rsidRDefault="00B50589">
      <w:pPr>
        <w:widowControl w:val="0"/>
        <w:spacing w:line="276" w:lineRule="auto"/>
        <w:ind w:firstLine="709"/>
        <w:jc w:val="both"/>
        <w:rPr>
          <w:sz w:val="28"/>
        </w:rPr>
      </w:pPr>
      <w:r>
        <w:rPr>
          <w:sz w:val="28"/>
        </w:rPr>
        <w:t xml:space="preserve">12) в целях исключения использования налогоплательщиками механизма ЕНС для совершения операций, не связанных с уплатой налогов, в </w:t>
      </w:r>
      <w:r>
        <w:rPr>
          <w:sz w:val="28"/>
        </w:rPr>
        <w:lastRenderedPageBreak/>
        <w:t>законопроекте уточнен порядок возврата сумм денежных средств, формирующих положительное сальдо ЕНС.</w:t>
      </w:r>
    </w:p>
    <w:p w:rsidR="00B126B9" w:rsidRDefault="00B50589">
      <w:pPr>
        <w:widowControl w:val="0"/>
        <w:spacing w:line="276" w:lineRule="auto"/>
        <w:ind w:firstLine="709"/>
        <w:jc w:val="both"/>
        <w:rPr>
          <w:sz w:val="28"/>
        </w:rPr>
      </w:pPr>
      <w:r>
        <w:rPr>
          <w:sz w:val="28"/>
        </w:rPr>
        <w:t>Так, предлагается осуществлять возврат таких сумм не на счет налогоплательщика, а на счет лица, с которого осуществлено такое перечисление, сформировавшее положительное сальдо ЕНС. При этом</w:t>
      </w:r>
      <w:proofErr w:type="gramStart"/>
      <w:r>
        <w:rPr>
          <w:sz w:val="28"/>
        </w:rPr>
        <w:t>,</w:t>
      </w:r>
      <w:proofErr w:type="gramEnd"/>
      <w:r>
        <w:rPr>
          <w:sz w:val="28"/>
        </w:rPr>
        <w:t xml:space="preserve"> по мнению Комитета, необходимо проработать вопрос реализации предлагаемого порядка в случае, если к моменту такого возврата счет лица, с которого было осуществлено такое перечисление денежных средств, закрыт. В частности, в целях сохранения </w:t>
      </w:r>
      <w:proofErr w:type="gramStart"/>
      <w:r>
        <w:rPr>
          <w:sz w:val="28"/>
        </w:rPr>
        <w:t>контроля за</w:t>
      </w:r>
      <w:proofErr w:type="gramEnd"/>
      <w:r>
        <w:rPr>
          <w:sz w:val="28"/>
        </w:rPr>
        <w:t xml:space="preserve"> операциями такого лица можно рассмотреть возможность возврата таких средств на иной банковский счет указанного лица, открытый в этом же банке.</w:t>
      </w:r>
    </w:p>
    <w:p w:rsidR="00B126B9" w:rsidRDefault="00B50589">
      <w:pPr>
        <w:widowControl w:val="0"/>
        <w:spacing w:line="276" w:lineRule="auto"/>
        <w:ind w:firstLine="709"/>
        <w:jc w:val="both"/>
        <w:rPr>
          <w:sz w:val="28"/>
        </w:rPr>
      </w:pPr>
      <w:r>
        <w:rPr>
          <w:sz w:val="28"/>
        </w:rPr>
        <w:t>В случае</w:t>
      </w:r>
      <w:proofErr w:type="gramStart"/>
      <w:r>
        <w:rPr>
          <w:sz w:val="28"/>
        </w:rPr>
        <w:t>,</w:t>
      </w:r>
      <w:proofErr w:type="gramEnd"/>
      <w:r>
        <w:rPr>
          <w:sz w:val="28"/>
        </w:rPr>
        <w:t xml:space="preserve"> если положительное сальдо ЕНС образовалось в результате зачета денежных средств в счет исполнения обязанности другого лица в отсутствие такой обязанности на дату зачета, законопроектом предлагается отказывать в возврате денежных средств (проектируемый абзац десятый пункта 1 статьи 79 Налогового кодекса). Комитет обращает внимание на наличие противоречия между указанным абзацем и проектируемыми положениями пункта 1 статьи 78 Налогового кодекса, не допускающими осуществление зачета в случае отсутствия обязанности другого лица на дату такого зачета. Для обеспечения правовой определенности и снижения потенциальных споров необходимо устранить указанное противоречие.</w:t>
      </w:r>
    </w:p>
    <w:p w:rsidR="00B126B9" w:rsidRDefault="00B50589">
      <w:pPr>
        <w:widowControl w:val="0"/>
        <w:spacing w:line="276" w:lineRule="auto"/>
        <w:ind w:firstLine="709"/>
        <w:jc w:val="both"/>
        <w:rPr>
          <w:sz w:val="28"/>
        </w:rPr>
      </w:pPr>
      <w:r>
        <w:rPr>
          <w:sz w:val="28"/>
        </w:rPr>
        <w:t>Также представляется, что отказ в возврате денежных средств в отсутствие законных оснований для обращения на них взыскания не может рассматриваться в качестве допустимого механизма урегулирования решаемой проблемы в налоговом законодательстве. В этой связи при подготовке законопроекта ко второму чтению предлагается рассмотреть возможность возврата сумм денежных средств, сформировавших положительное сальдо ЕНС в результате зачета в счет исполнения обязанности другого лица в связи с ее последующим уточнением к уменьшению, на ЕНС лица, с которого поступили указанные суммы денежных средств.</w:t>
      </w:r>
    </w:p>
    <w:p w:rsidR="00B126B9" w:rsidRDefault="00B50589">
      <w:pPr>
        <w:widowControl w:val="0"/>
        <w:spacing w:line="276" w:lineRule="auto"/>
        <w:ind w:firstLine="709"/>
        <w:jc w:val="both"/>
        <w:rPr>
          <w:sz w:val="28"/>
        </w:rPr>
      </w:pPr>
      <w:r>
        <w:rPr>
          <w:sz w:val="28"/>
        </w:rPr>
        <w:t>13) законопроектом уточняются положения статьи 76 Налогового кодекса в части возможности списания денежных сре</w:t>
      </w:r>
      <w:proofErr w:type="gramStart"/>
      <w:r>
        <w:rPr>
          <w:sz w:val="28"/>
        </w:rPr>
        <w:t>дств с з</w:t>
      </w:r>
      <w:proofErr w:type="gramEnd"/>
      <w:r>
        <w:rPr>
          <w:sz w:val="28"/>
        </w:rPr>
        <w:t>аблокированного счета в счет уплаты налогов на депозитный счет судебных приставов.</w:t>
      </w:r>
    </w:p>
    <w:p w:rsidR="00B126B9" w:rsidRDefault="00B50589">
      <w:pPr>
        <w:widowControl w:val="0"/>
        <w:spacing w:line="276" w:lineRule="auto"/>
        <w:ind w:firstLine="709"/>
        <w:jc w:val="both"/>
        <w:rPr>
          <w:sz w:val="28"/>
        </w:rPr>
      </w:pPr>
      <w:r>
        <w:rPr>
          <w:sz w:val="28"/>
        </w:rPr>
        <w:t>Однако не учитывается, что с 1 апреля 2026 года судебные приставы утратят возможность взыскания налоговой задолженности за счет денежных средств на банковских счетах налогоплательщиков (статья 2 Федерального закона № 287-ФЗ);</w:t>
      </w:r>
    </w:p>
    <w:p w:rsidR="00B126B9" w:rsidRDefault="00B50589">
      <w:pPr>
        <w:widowControl w:val="0"/>
        <w:spacing w:line="276" w:lineRule="auto"/>
        <w:ind w:firstLine="709"/>
        <w:jc w:val="both"/>
        <w:rPr>
          <w:sz w:val="28"/>
        </w:rPr>
      </w:pPr>
      <w:r>
        <w:rPr>
          <w:sz w:val="28"/>
        </w:rPr>
        <w:lastRenderedPageBreak/>
        <w:t xml:space="preserve">14) законопроект устанавливает максимальный предел смягчения ответственности за совершение налогового правонарушения (не более чем </w:t>
      </w:r>
      <w:r>
        <w:rPr>
          <w:sz w:val="28"/>
        </w:rPr>
        <w:br/>
        <w:t>в 10 раз по сравнению с санкцией соответствующей статьи Налогового кодекса). При этом ФНС России также наделяется полномочиями по утверждению пределов уменьшения ответственности, что порождает внутреннее противоречие проектируемого регулирования.</w:t>
      </w:r>
    </w:p>
    <w:p w:rsidR="00B126B9" w:rsidRDefault="00B50589">
      <w:pPr>
        <w:widowControl w:val="0"/>
        <w:spacing w:line="276" w:lineRule="auto"/>
        <w:ind w:firstLine="709"/>
        <w:jc w:val="both"/>
        <w:rPr>
          <w:sz w:val="28"/>
        </w:rPr>
      </w:pPr>
      <w:r>
        <w:rPr>
          <w:sz w:val="28"/>
        </w:rPr>
        <w:t xml:space="preserve">Кроме того, в силу пункта 2 статьи 4 Налогового кодекса ФНС России не может издавать нормативные правовые акты в области налогов и сборов. В связи с этим необходимо обсудить допустимость наделения ФНС России полномочиями по изданию акта, устанавливающего порядок применения смягчающих ответственность обстоятельств. Также </w:t>
      </w:r>
      <w:proofErr w:type="gramStart"/>
      <w:r>
        <w:rPr>
          <w:sz w:val="28"/>
        </w:rPr>
        <w:t>исходя из принципа независимости судебной власти представляется</w:t>
      </w:r>
      <w:proofErr w:type="gramEnd"/>
      <w:r>
        <w:rPr>
          <w:sz w:val="28"/>
        </w:rPr>
        <w:t>, что акты органов исполнительной власти, касающиеся порядка применения смягчающих обстоятельств, не могут ограничивать суды в свободной оценке и учете смягчающих ответственность обстоятельств, соответственно, такие акты могут распространяться только на налоговые органы;</w:t>
      </w:r>
    </w:p>
    <w:p w:rsidR="00B126B9" w:rsidRDefault="00B50589">
      <w:pPr>
        <w:widowControl w:val="0"/>
        <w:spacing w:line="276" w:lineRule="auto"/>
        <w:ind w:firstLine="709"/>
        <w:jc w:val="both"/>
        <w:rPr>
          <w:sz w:val="28"/>
        </w:rPr>
      </w:pPr>
      <w:r>
        <w:rPr>
          <w:sz w:val="28"/>
        </w:rPr>
        <w:t>15) законопроект вводит экстерриториальный порядок обжалования актов налоговых органов (действий или бездействия их должностных лиц). По мнению Комитета, такой порядок не должен препятствовать реализации прав налогоплательщика на досудебное обжалование, возлагая на него бремя определения уполномоченного налогового органа.</w:t>
      </w:r>
    </w:p>
    <w:p w:rsidR="00B126B9" w:rsidRDefault="00B50589">
      <w:pPr>
        <w:widowControl w:val="0"/>
        <w:spacing w:line="276" w:lineRule="auto"/>
        <w:ind w:firstLine="709"/>
        <w:jc w:val="both"/>
        <w:rPr>
          <w:sz w:val="28"/>
        </w:rPr>
      </w:pPr>
      <w:r>
        <w:rPr>
          <w:sz w:val="28"/>
        </w:rPr>
        <w:t>В связи с этим требуется урегулировать применение экстерриториального принципа к рассмотрению жалоб без изменения порядка обжалования для налогоплательщика, включив соответствующие нормы в статью 140 Налогового кодекса, посвященную порядку рассмотрения жалоб.</w:t>
      </w:r>
    </w:p>
    <w:p w:rsidR="00B126B9" w:rsidRDefault="00B50589">
      <w:pPr>
        <w:widowControl w:val="0"/>
        <w:spacing w:line="276" w:lineRule="auto"/>
        <w:ind w:firstLine="709"/>
        <w:jc w:val="both"/>
        <w:rPr>
          <w:sz w:val="28"/>
        </w:rPr>
      </w:pPr>
      <w:r>
        <w:rPr>
          <w:sz w:val="28"/>
        </w:rPr>
        <w:t>Кроме того, Комитет полагает целесообразным рассмотреть вопрос установления специального правила о подсудности, выводящего такие акты налоговых органов из-под действия общего правила о территориальной подсудности по месту нахождения ответчика, для недопущения возложения на налогоплательщиков дополнительных расходов, связанных с реализацией права на судебную защиту. В связи с этим предлагается рассмотреть возможность внесения в статью 38 Арбитражного процессуального кодекса Российской Федерации правила о подаче заявлений об оспаривании таких актов налоговых органов в суд по адресу (месту жительства) заявителя;</w:t>
      </w:r>
    </w:p>
    <w:p w:rsidR="00B126B9" w:rsidRDefault="00B50589">
      <w:pPr>
        <w:widowControl w:val="0"/>
        <w:spacing w:line="276" w:lineRule="auto"/>
        <w:ind w:firstLine="709"/>
        <w:jc w:val="both"/>
        <w:rPr>
          <w:sz w:val="28"/>
        </w:rPr>
      </w:pPr>
      <w:r>
        <w:rPr>
          <w:sz w:val="28"/>
        </w:rPr>
        <w:t>16) отдельные нормы, касающиеся налогового администрирования, содержатся в переходных положениях законопроекта.</w:t>
      </w:r>
    </w:p>
    <w:p w:rsidR="00B126B9" w:rsidRDefault="00B50589">
      <w:pPr>
        <w:widowControl w:val="0"/>
        <w:spacing w:line="276" w:lineRule="auto"/>
        <w:ind w:firstLine="709"/>
        <w:jc w:val="both"/>
        <w:rPr>
          <w:sz w:val="28"/>
        </w:rPr>
      </w:pPr>
      <w:r>
        <w:rPr>
          <w:sz w:val="28"/>
        </w:rPr>
        <w:t xml:space="preserve">Так, статья 10 законопроекта предусматривает признание безнадежной к взысканию задолженности физического лица, не являющего </w:t>
      </w:r>
      <w:r>
        <w:rPr>
          <w:sz w:val="28"/>
        </w:rPr>
        <w:lastRenderedPageBreak/>
        <w:t xml:space="preserve">индивидуальным предпринимателем на дату вступления в силу законопроекта, в размере 500 рублей. При этом требуется уточнить, на какую дату определяется указанный размер задолженности. </w:t>
      </w:r>
    </w:p>
    <w:p w:rsidR="00B126B9" w:rsidRDefault="00B50589">
      <w:pPr>
        <w:widowControl w:val="0"/>
        <w:spacing w:line="276" w:lineRule="auto"/>
        <w:ind w:firstLine="709"/>
        <w:jc w:val="both"/>
        <w:rPr>
          <w:sz w:val="28"/>
        </w:rPr>
      </w:pPr>
      <w:r>
        <w:rPr>
          <w:sz w:val="28"/>
        </w:rPr>
        <w:t xml:space="preserve">Статьей 11 законопроекта предлагается адресно информировать оператора платформы цифрового рубля (по аналогии с информированием банков) о размещении в реестре решений о взыскании задолженности поручения налогового органа о взыскании задолженности и информации об изменении суммы задолженности в период по 31.12.2026 включительно </w:t>
      </w:r>
      <w:r>
        <w:rPr>
          <w:sz w:val="28"/>
        </w:rPr>
        <w:br/>
        <w:t xml:space="preserve">(то есть до начала функционирования реестра решений о взыскании задолженности). Предусматривается, что порядок такого информирования будет утверждать ФНС России по согласованию с Банком России. </w:t>
      </w:r>
      <w:proofErr w:type="gramStart"/>
      <w:r>
        <w:rPr>
          <w:sz w:val="28"/>
        </w:rPr>
        <w:t xml:space="preserve">При этом исходя из части 2 упомянутой статьи размещение такого поручения налогового органа (информации о сумме задолженности) в реестре решений о взыскании задолженности в указанный период является достаточным для признания их направленными оператору платформы цифрового рубля. </w:t>
      </w:r>
      <w:proofErr w:type="gramEnd"/>
    </w:p>
    <w:p w:rsidR="00B126B9" w:rsidRDefault="00B50589">
      <w:pPr>
        <w:widowControl w:val="0"/>
        <w:spacing w:line="276" w:lineRule="auto"/>
        <w:ind w:firstLine="709"/>
        <w:jc w:val="both"/>
        <w:rPr>
          <w:sz w:val="28"/>
        </w:rPr>
      </w:pPr>
      <w:r>
        <w:rPr>
          <w:sz w:val="28"/>
        </w:rPr>
        <w:t>Таким образом, статья 11 законопроекта содержит внутреннее противоречие, не позволяющее четко определить порядок информирования оператора платформы цифрового рубля о документах взыскания задолженности в переходный период. По мнению Комитета, для исключения неоднозначного толкования проектируемое переходное положение нуждается в уточнении.</w:t>
      </w:r>
    </w:p>
    <w:p w:rsidR="00B126B9" w:rsidRDefault="00B50589">
      <w:pPr>
        <w:widowControl w:val="0"/>
        <w:spacing w:line="276" w:lineRule="auto"/>
        <w:ind w:firstLine="709"/>
        <w:jc w:val="both"/>
        <w:rPr>
          <w:sz w:val="28"/>
        </w:rPr>
      </w:pPr>
      <w:r>
        <w:rPr>
          <w:b/>
          <w:sz w:val="28"/>
        </w:rPr>
        <w:t>2. В части налога на добавленную стоимость</w:t>
      </w:r>
      <w:r>
        <w:rPr>
          <w:sz w:val="28"/>
        </w:rPr>
        <w:t xml:space="preserve"> (далее - НДС) предлагаются следующие изменения:</w:t>
      </w:r>
    </w:p>
    <w:p w:rsidR="00B126B9" w:rsidRDefault="00B50589">
      <w:pPr>
        <w:widowControl w:val="0"/>
        <w:spacing w:line="276" w:lineRule="auto"/>
        <w:ind w:firstLine="709"/>
        <w:jc w:val="both"/>
        <w:rPr>
          <w:sz w:val="28"/>
        </w:rPr>
      </w:pPr>
      <w:r>
        <w:rPr>
          <w:sz w:val="28"/>
        </w:rPr>
        <w:t xml:space="preserve">1) общеустановленная ставка НДС увеличивается с 20 до 22 процентов. Одновременно вносятся системные правки в нормы 21 главы НК в части изменения расчетной ставки НДС 16,67 на 18,03 процента (согласно финансово-экономическому обоснованию к законопроекту, принятие указанной меры позволит получить в 2026 году дополнительные доходы федерального бюджета в размере 1,187 </w:t>
      </w:r>
      <w:proofErr w:type="gramStart"/>
      <w:r>
        <w:rPr>
          <w:sz w:val="28"/>
        </w:rPr>
        <w:t>трлн</w:t>
      </w:r>
      <w:proofErr w:type="gramEnd"/>
      <w:r>
        <w:rPr>
          <w:sz w:val="28"/>
        </w:rPr>
        <w:t xml:space="preserve"> руб., в 2027 г. - 1,559 трлн руб., в 2028 г. - 1,677 трлн руб.).</w:t>
      </w:r>
    </w:p>
    <w:p w:rsidR="00B126B9" w:rsidRDefault="00B50589">
      <w:pPr>
        <w:widowControl w:val="0"/>
        <w:spacing w:line="276" w:lineRule="auto"/>
        <w:ind w:firstLine="709"/>
        <w:jc w:val="both"/>
        <w:rPr>
          <w:sz w:val="28"/>
        </w:rPr>
      </w:pPr>
      <w:proofErr w:type="gramStart"/>
      <w:r>
        <w:rPr>
          <w:sz w:val="28"/>
        </w:rPr>
        <w:t>Согласно ОНБНТП на 2026 год и на плановый период 2027 и 2028 годов, увеличение базовой ставки НДС направлено на снижение конъюнктурной уязвимости федерального бюджета, гарантированное исполнение всех принятых государством обязательств за счет повышения доли устойчивых доходных источников, а также на формирование в долгосрочной перспективе наиболее стабильного источника доходов с учетом особенностей администрирования.</w:t>
      </w:r>
      <w:proofErr w:type="gramEnd"/>
    </w:p>
    <w:p w:rsidR="00B126B9" w:rsidRDefault="00B50589">
      <w:pPr>
        <w:widowControl w:val="0"/>
        <w:spacing w:line="276" w:lineRule="auto"/>
        <w:ind w:firstLine="709"/>
        <w:jc w:val="both"/>
        <w:rPr>
          <w:sz w:val="28"/>
        </w:rPr>
      </w:pPr>
      <w:r>
        <w:rPr>
          <w:sz w:val="28"/>
        </w:rPr>
        <w:t xml:space="preserve">При этом Комитет особо обращает внимание на сохранение пониженной ставки НДС в размере 10 процентов в отношении всех </w:t>
      </w:r>
      <w:r>
        <w:rPr>
          <w:sz w:val="28"/>
        </w:rPr>
        <w:lastRenderedPageBreak/>
        <w:t>социально-значимых товаров (продукты питания, лекарства и медицинская продукция, товары для детей и ряд других товаров), что направлено на защиту от инфляционных последствий малообеспеченных слоев населения;</w:t>
      </w:r>
    </w:p>
    <w:p w:rsidR="00B126B9" w:rsidRDefault="00B50589">
      <w:pPr>
        <w:widowControl w:val="0"/>
        <w:spacing w:line="276" w:lineRule="auto"/>
        <w:ind w:firstLine="709"/>
        <w:jc w:val="both"/>
        <w:rPr>
          <w:sz w:val="28"/>
        </w:rPr>
      </w:pPr>
      <w:r>
        <w:rPr>
          <w:sz w:val="28"/>
        </w:rPr>
        <w:t xml:space="preserve">2) с целью пресечения незаконной минимизации налогов (в том числе посредством применения схем дробления бизнеса) уменьшается с 60 до 10 млн. руб. предельный размер доходов, при достижении которого налогоплательщик, применяющий упрощенную систему налогообложения (далее - УСН), становится плательщиком НДС (что позволит ежегодно получать дополнительные доходы федерального бюджета в размере 200 </w:t>
      </w:r>
      <w:proofErr w:type="gramStart"/>
      <w:r>
        <w:rPr>
          <w:sz w:val="28"/>
        </w:rPr>
        <w:t>млрд</w:t>
      </w:r>
      <w:proofErr w:type="gramEnd"/>
      <w:r>
        <w:rPr>
          <w:sz w:val="28"/>
        </w:rPr>
        <w:t xml:space="preserve"> руб.).</w:t>
      </w:r>
    </w:p>
    <w:p w:rsidR="00B126B9" w:rsidRDefault="00B50589">
      <w:pPr>
        <w:widowControl w:val="0"/>
        <w:spacing w:line="276" w:lineRule="auto"/>
        <w:ind w:firstLine="709"/>
        <w:jc w:val="both"/>
        <w:rPr>
          <w:sz w:val="28"/>
        </w:rPr>
      </w:pPr>
      <w:r>
        <w:rPr>
          <w:sz w:val="28"/>
        </w:rPr>
        <w:t>При этом</w:t>
      </w:r>
      <w:proofErr w:type="gramStart"/>
      <w:r>
        <w:rPr>
          <w:sz w:val="28"/>
        </w:rPr>
        <w:t>,</w:t>
      </w:r>
      <w:proofErr w:type="gramEnd"/>
      <w:r>
        <w:rPr>
          <w:sz w:val="28"/>
        </w:rPr>
        <w:t xml:space="preserve"> согласно информации ФНС России, принятие указанной меры не коснется порядка 85 процентов от общего числа налогоплательщиков, применяющих УСН. Таким образом, Комитет отмечает, что основную часть налогоплательщиков, применяющих УСН, это не коснется;</w:t>
      </w:r>
    </w:p>
    <w:p w:rsidR="00B126B9" w:rsidRDefault="00B50589">
      <w:pPr>
        <w:widowControl w:val="0"/>
        <w:spacing w:line="276" w:lineRule="auto"/>
        <w:ind w:firstLine="709"/>
        <w:jc w:val="both"/>
        <w:rPr>
          <w:sz w:val="28"/>
        </w:rPr>
      </w:pPr>
      <w:r>
        <w:rPr>
          <w:sz w:val="28"/>
        </w:rPr>
        <w:t>3) отменяется право применения банками освобождения от налогообложения НДС при осуществлении операций и услуг, связанных с обслуживанием банковских карт, а также операций, осуществляемых организациями, обеспечивающими информационное и технологическое взаимодействие между участниками расчетов (включая оказание услуг по сбору, обработке и предоставлению участниками расчетов информации по операциям с банковскими картами);</w:t>
      </w:r>
    </w:p>
    <w:p w:rsidR="00B126B9" w:rsidRDefault="00B50589">
      <w:pPr>
        <w:widowControl w:val="0"/>
        <w:spacing w:line="276" w:lineRule="auto"/>
        <w:ind w:firstLine="709"/>
        <w:jc w:val="both"/>
        <w:rPr>
          <w:sz w:val="28"/>
        </w:rPr>
      </w:pPr>
      <w:proofErr w:type="gramStart"/>
      <w:r>
        <w:rPr>
          <w:sz w:val="28"/>
        </w:rPr>
        <w:t>4) отменяется освобождение от налогообложения НДС исключительных прав на программы для ЭВМ и базы данных, включенных в единый реестр российских программ для ЭВМ и баз данных или единый реестр результатов научно-исследовательских, опытно-конструкторских и технологических работ военного, специального или двойного назначения, прав на использование таких программ и баз данных (включая обновления к ним и дополнительные функциональные возможности).</w:t>
      </w:r>
      <w:proofErr w:type="gramEnd"/>
      <w:r>
        <w:rPr>
          <w:sz w:val="28"/>
        </w:rPr>
        <w:t xml:space="preserve"> Указанная льгота предназначалась для повышения конкурентоспособности российского программного обеспечения по сравнению с </w:t>
      </w:r>
      <w:proofErr w:type="gramStart"/>
      <w:r>
        <w:rPr>
          <w:sz w:val="28"/>
        </w:rPr>
        <w:t>иностранным</w:t>
      </w:r>
      <w:proofErr w:type="gramEnd"/>
      <w:r>
        <w:rPr>
          <w:sz w:val="28"/>
        </w:rPr>
        <w:t>. Однако, в связи с тем, что весь российский рынок фактически заняли российские компании,  актуальность именно такой формы государственной поддержки не в полной мере соответствует текущим вызовам.</w:t>
      </w:r>
    </w:p>
    <w:p w:rsidR="00B126B9" w:rsidRDefault="00B50589">
      <w:pPr>
        <w:widowControl w:val="0"/>
        <w:spacing w:line="276" w:lineRule="auto"/>
        <w:ind w:firstLine="709"/>
        <w:jc w:val="both"/>
        <w:rPr>
          <w:sz w:val="28"/>
        </w:rPr>
      </w:pPr>
      <w:proofErr w:type="gramStart"/>
      <w:r>
        <w:rPr>
          <w:sz w:val="28"/>
        </w:rPr>
        <w:t>В связи с отменой указанного освобождения признаются утратившими силу и нормы, дававшие в период его действия право на вычет сумм «входного» НДС при приобретении рекламных и маркетинговых услуг, используемых для передачи вышеуказанных прав, местом реализации которых не признается территория Российской Федерации.</w:t>
      </w:r>
      <w:proofErr w:type="gramEnd"/>
      <w:r>
        <w:rPr>
          <w:sz w:val="28"/>
        </w:rPr>
        <w:t xml:space="preserve"> После отмены </w:t>
      </w:r>
      <w:r>
        <w:rPr>
          <w:sz w:val="28"/>
        </w:rPr>
        <w:lastRenderedPageBreak/>
        <w:t>освобождения от налогообложения НДС в отношении указанных операций вычет сумм «входного» НДС по товарам (работам, услугам), приобретаемым для осуществления указанных операций, местом реализации которых не признается территория Российской Федерации, будет осуществляться на основании подпункта 3 пункта 2 статьи 171 Налогового кодекса;</w:t>
      </w:r>
    </w:p>
    <w:p w:rsidR="00B126B9" w:rsidRDefault="00B50589">
      <w:pPr>
        <w:widowControl w:val="0"/>
        <w:spacing w:line="276" w:lineRule="auto"/>
        <w:ind w:firstLine="709"/>
        <w:jc w:val="both"/>
        <w:rPr>
          <w:sz w:val="28"/>
        </w:rPr>
      </w:pPr>
      <w:proofErr w:type="gramStart"/>
      <w:r>
        <w:rPr>
          <w:sz w:val="28"/>
        </w:rPr>
        <w:t>5) устанавливается освобождение от налогообложения НДС услуг операторов инвестиционных платформ, осуществляющих деятельность по организации привлечения инвестиций в соответствии с Федеральным законом от 02.08.2019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(приводится конкретный перечень), а также услуг, непосредственно связанных с указанной деятельностью;</w:t>
      </w:r>
      <w:proofErr w:type="gramEnd"/>
    </w:p>
    <w:p w:rsidR="00B126B9" w:rsidRDefault="00B50589">
      <w:pPr>
        <w:widowControl w:val="0"/>
        <w:spacing w:line="276" w:lineRule="auto"/>
        <w:ind w:firstLine="709"/>
        <w:jc w:val="both"/>
        <w:rPr>
          <w:sz w:val="28"/>
        </w:rPr>
      </w:pPr>
      <w:r>
        <w:rPr>
          <w:sz w:val="28"/>
        </w:rPr>
        <w:t>6) устанавливается нулевая ставка НДС в отношении руды, концентратов и других промышленных продуктов, содержащих драгоценные металлы, налогоплательщиками, осуществляющими добычу драгоценных металлов, при их реализации аффинажным организациям, имеющим право осуществлять аффинаж драгоценных металлов, для аффинажа. Одновременно устанавливается перечень документов для подтверждения права на применение указанной ставки НДС, а также данная операция исключается из перечня операций, освобождаемых в настоящее время от налогообложения НДС на основании подпункта 9 пункта 3 статьи 149 Налогового кодекса;</w:t>
      </w:r>
    </w:p>
    <w:p w:rsidR="00B126B9" w:rsidRDefault="00B50589">
      <w:pPr>
        <w:widowControl w:val="0"/>
        <w:spacing w:line="276" w:lineRule="auto"/>
        <w:ind w:firstLine="709"/>
        <w:jc w:val="both"/>
        <w:rPr>
          <w:sz w:val="28"/>
        </w:rPr>
      </w:pPr>
      <w:r>
        <w:rPr>
          <w:sz w:val="28"/>
        </w:rPr>
        <w:t xml:space="preserve">7) устанавливаются особенности определения налоговой базы и принятия к вычету сумм НДС в ряде случаев, связанных с исполнением обязательств, право </w:t>
      </w:r>
      <w:proofErr w:type="gramStart"/>
      <w:r>
        <w:rPr>
          <w:sz w:val="28"/>
        </w:rPr>
        <w:t>требования</w:t>
      </w:r>
      <w:proofErr w:type="gramEnd"/>
      <w:r>
        <w:rPr>
          <w:sz w:val="28"/>
        </w:rPr>
        <w:t xml:space="preserve"> по которым является утилитарным цифровым правом;</w:t>
      </w:r>
    </w:p>
    <w:p w:rsidR="00B126B9" w:rsidRDefault="00B50589">
      <w:pPr>
        <w:widowControl w:val="0"/>
        <w:spacing w:line="276" w:lineRule="auto"/>
        <w:ind w:firstLine="709"/>
        <w:jc w:val="both"/>
        <w:rPr>
          <w:sz w:val="28"/>
        </w:rPr>
      </w:pPr>
      <w:proofErr w:type="gramStart"/>
      <w:r>
        <w:rPr>
          <w:sz w:val="28"/>
        </w:rPr>
        <w:t xml:space="preserve">8) устанавливается, что НДС подлежит исчислению российским налогоплательщиком при сдаче в аренду </w:t>
      </w:r>
      <w:proofErr w:type="spellStart"/>
      <w:r>
        <w:rPr>
          <w:sz w:val="28"/>
        </w:rPr>
        <w:t>майнинговой</w:t>
      </w:r>
      <w:proofErr w:type="spellEnd"/>
      <w:r>
        <w:rPr>
          <w:sz w:val="28"/>
        </w:rPr>
        <w:t xml:space="preserve"> инфраструктуры, а также при предоставлении в режиме реального времени вычислительной мощности для размещения информации в информационной системе для осуществления </w:t>
      </w:r>
      <w:proofErr w:type="spellStart"/>
      <w:r>
        <w:rPr>
          <w:sz w:val="28"/>
        </w:rPr>
        <w:t>майнинговой</w:t>
      </w:r>
      <w:proofErr w:type="spellEnd"/>
      <w:r>
        <w:rPr>
          <w:sz w:val="28"/>
        </w:rPr>
        <w:t xml:space="preserve"> деятельности (в целях исключения неопределенности в вопросе применения НДС при предоставлении российскими налогоплательщиками иностранным лицам </w:t>
      </w:r>
      <w:proofErr w:type="spellStart"/>
      <w:r>
        <w:rPr>
          <w:sz w:val="28"/>
        </w:rPr>
        <w:t>майнинговой</w:t>
      </w:r>
      <w:proofErr w:type="spellEnd"/>
      <w:r>
        <w:rPr>
          <w:sz w:val="28"/>
        </w:rPr>
        <w:t xml:space="preserve"> инфраструктуры для осуществления операций по </w:t>
      </w:r>
      <w:proofErr w:type="spellStart"/>
      <w:r>
        <w:rPr>
          <w:sz w:val="28"/>
        </w:rPr>
        <w:t>майнингу</w:t>
      </w:r>
      <w:proofErr w:type="spellEnd"/>
      <w:r>
        <w:rPr>
          <w:sz w:val="28"/>
        </w:rPr>
        <w:t xml:space="preserve"> цифровой валюты);</w:t>
      </w:r>
      <w:proofErr w:type="gramEnd"/>
    </w:p>
    <w:p w:rsidR="00B126B9" w:rsidRDefault="00B50589">
      <w:pPr>
        <w:widowControl w:val="0"/>
        <w:spacing w:line="276" w:lineRule="auto"/>
        <w:ind w:firstLine="709"/>
        <w:jc w:val="both"/>
        <w:rPr>
          <w:sz w:val="28"/>
        </w:rPr>
      </w:pPr>
      <w:r>
        <w:rPr>
          <w:sz w:val="28"/>
        </w:rPr>
        <w:t xml:space="preserve">9) предусматривается возможность отказа от применения нулевой ставки НДС при выполнении работ (оказании услуг), связанных с импортом товаров, а также возможность отказа от применения указанной ставки для </w:t>
      </w:r>
      <w:r>
        <w:rPr>
          <w:sz w:val="28"/>
        </w:rPr>
        <w:lastRenderedPageBreak/>
        <w:t>налогоплательщиков, применяющих ставки 5 или 7 процентов, при осуществлении ими экспорта товаров и выполнении работ (оказании услуг), связанных с экспортом и импортом товаров;</w:t>
      </w:r>
    </w:p>
    <w:p w:rsidR="00B126B9" w:rsidRDefault="00B50589">
      <w:pPr>
        <w:widowControl w:val="0"/>
        <w:spacing w:line="276" w:lineRule="auto"/>
        <w:ind w:firstLine="709"/>
        <w:jc w:val="both"/>
        <w:rPr>
          <w:sz w:val="28"/>
        </w:rPr>
      </w:pPr>
      <w:proofErr w:type="gramStart"/>
      <w:r>
        <w:rPr>
          <w:sz w:val="28"/>
        </w:rPr>
        <w:t>10) полномочия по утверждению формы счета-фактуры, порядка его заполнения, формы и порядка ведения журнала учета полученных и выставленных счетов-фактур, книг покупок и книг продаж возлагаются на ФНС России, а также одновременно вносится изменение в перечень сведений, указываемых в счете-фактуре: свидетельство о государственной регистрации ИП меняется на основной государственный регистрационный номер индивидуального предпринимателя (в связи с тем, что указанное свидетельство давно</w:t>
      </w:r>
      <w:proofErr w:type="gramEnd"/>
      <w:r>
        <w:rPr>
          <w:sz w:val="28"/>
        </w:rPr>
        <w:t xml:space="preserve"> не выдается, а при государственной регистрации физического лица в качестве индивидуального предпринимателя или при </w:t>
      </w:r>
      <w:proofErr w:type="gramStart"/>
      <w:r>
        <w:rPr>
          <w:sz w:val="28"/>
        </w:rPr>
        <w:t>первой</w:t>
      </w:r>
      <w:proofErr w:type="gramEnd"/>
      <w:r>
        <w:rPr>
          <w:sz w:val="28"/>
        </w:rPr>
        <w:t xml:space="preserve"> внесенной в ЕГРИП записи об ИП, зарегистрированном до 01.01.2004, территориальными органами ФНС России присваивается ОГРНИП);</w:t>
      </w:r>
    </w:p>
    <w:p w:rsidR="00B126B9" w:rsidRDefault="00B50589">
      <w:pPr>
        <w:widowControl w:val="0"/>
        <w:spacing w:line="276" w:lineRule="auto"/>
        <w:ind w:firstLine="709"/>
        <w:jc w:val="both"/>
        <w:rPr>
          <w:sz w:val="28"/>
        </w:rPr>
      </w:pPr>
      <w:r>
        <w:rPr>
          <w:sz w:val="28"/>
        </w:rPr>
        <w:t>11) до 31 декабря 2030 года продлевается право применения освобождения от налогообложения НДС туристского продукта в сфере внутреннего и (или) въездного туризма, реализуемого организациями, осуществляющими туроператорскую деятельность.</w:t>
      </w:r>
    </w:p>
    <w:p w:rsidR="00B126B9" w:rsidRDefault="00B50589">
      <w:pPr>
        <w:widowControl w:val="0"/>
        <w:spacing w:line="276" w:lineRule="auto"/>
        <w:ind w:firstLine="709"/>
        <w:jc w:val="both"/>
        <w:rPr>
          <w:sz w:val="28"/>
        </w:rPr>
      </w:pPr>
      <w:r>
        <w:rPr>
          <w:sz w:val="28"/>
        </w:rPr>
        <w:t xml:space="preserve">При этом в части проектируемых норм по налогу на добавленную стоимость следует устранить следующие замечания:  </w:t>
      </w:r>
    </w:p>
    <w:p w:rsidR="00B126B9" w:rsidRDefault="00B50589">
      <w:pPr>
        <w:widowControl w:val="0"/>
        <w:spacing w:line="276" w:lineRule="auto"/>
        <w:ind w:firstLine="709"/>
        <w:jc w:val="both"/>
        <w:rPr>
          <w:sz w:val="28"/>
        </w:rPr>
      </w:pPr>
      <w:proofErr w:type="gramStart"/>
      <w:r>
        <w:rPr>
          <w:sz w:val="28"/>
        </w:rPr>
        <w:t>– требуют уточнения категории физических лиц, которым реализуются товары Евразийского экономического союза, для целей неприменения порядка определения места реализации товаров, предусмотренного подпунктом 2 пункта 1 статьи 147 Налогового кодекса (в целях возможности осуществления администрирования предлагается указать, что это физическое лицо, получающее товар в другом государстве - члене Евразийского экономического союза, а не находящееся на территории такого государства);</w:t>
      </w:r>
      <w:proofErr w:type="gramEnd"/>
    </w:p>
    <w:p w:rsidR="00B126B9" w:rsidRDefault="00B50589">
      <w:pPr>
        <w:widowControl w:val="0"/>
        <w:spacing w:line="276" w:lineRule="auto"/>
        <w:ind w:firstLine="709"/>
        <w:jc w:val="both"/>
        <w:rPr>
          <w:sz w:val="28"/>
        </w:rPr>
      </w:pPr>
      <w:proofErr w:type="gramStart"/>
      <w:r>
        <w:rPr>
          <w:sz w:val="28"/>
        </w:rPr>
        <w:t>- требуется  конкретизация проектируемой нормы пункта 12 статьи 176</w:t>
      </w:r>
      <w:r>
        <w:rPr>
          <w:sz w:val="28"/>
          <w:vertAlign w:val="superscript"/>
        </w:rPr>
        <w:t>1</w:t>
      </w:r>
      <w:r>
        <w:rPr>
          <w:sz w:val="28"/>
        </w:rPr>
        <w:t xml:space="preserve"> Налогового кодекса, согласно которой налоговый орган уведомляет гаранта (поручителя) об освобождении от исполнения обязанностей (обязательств) по банковской гарантии (по договору поручительства), с точки зрения определения случая, к которому он относится (случай, при котором были выявлены нарушения законодательства о налогах и сборах, либо случай, при котором такие нарушения выявлены не были).</w:t>
      </w:r>
      <w:proofErr w:type="gramEnd"/>
    </w:p>
    <w:p w:rsidR="00B126B9" w:rsidRDefault="00B50589">
      <w:pPr>
        <w:widowControl w:val="0"/>
        <w:spacing w:line="276" w:lineRule="auto"/>
        <w:ind w:firstLine="709"/>
        <w:jc w:val="both"/>
        <w:rPr>
          <w:sz w:val="28"/>
        </w:rPr>
      </w:pPr>
      <w:r>
        <w:rPr>
          <w:b/>
          <w:sz w:val="28"/>
        </w:rPr>
        <w:t>3. В части акцизного налогообложения</w:t>
      </w:r>
      <w:r>
        <w:rPr>
          <w:sz w:val="28"/>
        </w:rPr>
        <w:t xml:space="preserve"> в качестве основных изменений отмечаются следующие:</w:t>
      </w:r>
    </w:p>
    <w:p w:rsidR="00B126B9" w:rsidRDefault="00B50589">
      <w:pPr>
        <w:widowControl w:val="0"/>
        <w:spacing w:line="276" w:lineRule="auto"/>
        <w:ind w:firstLine="709"/>
        <w:jc w:val="both"/>
        <w:rPr>
          <w:sz w:val="28"/>
        </w:rPr>
      </w:pPr>
      <w:r>
        <w:rPr>
          <w:sz w:val="28"/>
        </w:rPr>
        <w:t xml:space="preserve">1) предусмотрена индексация ставок акцизов на 2026 - 2027 гг. на уровень инфляции, а также сверх уровня инфляции на этиловый спирт, </w:t>
      </w:r>
      <w:r>
        <w:rPr>
          <w:sz w:val="28"/>
        </w:rPr>
        <w:lastRenderedPageBreak/>
        <w:t xml:space="preserve">винодельческую и алкогольную продукцию, спиртосодержащую продукцию, табачную и </w:t>
      </w:r>
      <w:proofErr w:type="spellStart"/>
      <w:r>
        <w:rPr>
          <w:sz w:val="28"/>
        </w:rPr>
        <w:t>никотинсодержащую</w:t>
      </w:r>
      <w:proofErr w:type="spellEnd"/>
      <w:r>
        <w:rPr>
          <w:sz w:val="28"/>
        </w:rPr>
        <w:t xml:space="preserve"> продукцию, сахаросодержащие напитки. Одновременно устанавливаются ставки акцизов на 2028 год.</w:t>
      </w:r>
    </w:p>
    <w:p w:rsidR="00B126B9" w:rsidRDefault="00B50589">
      <w:pPr>
        <w:widowControl w:val="0"/>
        <w:spacing w:line="276" w:lineRule="auto"/>
        <w:ind w:firstLine="709"/>
        <w:jc w:val="both"/>
        <w:rPr>
          <w:sz w:val="28"/>
        </w:rPr>
      </w:pPr>
      <w:r>
        <w:rPr>
          <w:sz w:val="28"/>
        </w:rPr>
        <w:t>Соответственно уточнены и определены параметры налоговых вычетов сумм акцизов в отношении винодельческой продукции.</w:t>
      </w:r>
    </w:p>
    <w:p w:rsidR="00B126B9" w:rsidRDefault="00B50589">
      <w:pPr>
        <w:widowControl w:val="0"/>
        <w:spacing w:line="276" w:lineRule="auto"/>
        <w:ind w:firstLine="709"/>
        <w:jc w:val="both"/>
        <w:rPr>
          <w:sz w:val="28"/>
        </w:rPr>
      </w:pPr>
      <w:r>
        <w:rPr>
          <w:sz w:val="28"/>
        </w:rPr>
        <w:t xml:space="preserve">Согласно финансово-экономическому обоснованию к законопроекту, за счет повышения ставок акцизов на «вредные товары» (табачная, алкогольная, спиртосодержащая продукции и сахаросодержащие напитки) планируется дополнительно получить в федеральный бюджет в 2026 г. - 65,7 </w:t>
      </w:r>
      <w:proofErr w:type="gramStart"/>
      <w:r>
        <w:rPr>
          <w:sz w:val="28"/>
        </w:rPr>
        <w:t>млрд</w:t>
      </w:r>
      <w:proofErr w:type="gramEnd"/>
      <w:r>
        <w:rPr>
          <w:sz w:val="28"/>
        </w:rPr>
        <w:t xml:space="preserve"> руб., в 2027 г. - 72,591 млрд руб., в 2028 г. - 75,389 млрд. руб.);</w:t>
      </w:r>
    </w:p>
    <w:p w:rsidR="00B126B9" w:rsidRDefault="00B50589">
      <w:pPr>
        <w:widowControl w:val="0"/>
        <w:tabs>
          <w:tab w:val="left" w:pos="993"/>
          <w:tab w:val="left" w:pos="1134"/>
        </w:tabs>
        <w:spacing w:line="276" w:lineRule="auto"/>
        <w:ind w:firstLine="709"/>
        <w:jc w:val="both"/>
        <w:rPr>
          <w:sz w:val="28"/>
        </w:rPr>
      </w:pPr>
      <w:r>
        <w:rPr>
          <w:sz w:val="28"/>
        </w:rPr>
        <w:t xml:space="preserve">2) уточняются параметры допустимого отклонения фактических оптовых цен внутреннего рынка моторного топлива от их установленных значений, а также устанавливаются на 2028 год условные значения средней оптовой цены реализации авиационного керосина, автомобильного бензина и дизельного топлива, используемые при определении демпфирующих составляющих акциза на нефтяное сырье, направленное на переработку. </w:t>
      </w:r>
    </w:p>
    <w:p w:rsidR="00B126B9" w:rsidRDefault="00B50589">
      <w:pPr>
        <w:widowControl w:val="0"/>
        <w:spacing w:line="276" w:lineRule="auto"/>
        <w:ind w:firstLine="709"/>
        <w:jc w:val="both"/>
        <w:rPr>
          <w:sz w:val="28"/>
        </w:rPr>
      </w:pPr>
      <w:r>
        <w:rPr>
          <w:sz w:val="28"/>
        </w:rPr>
        <w:t xml:space="preserve">3) отменяется обязанность по уплате авансового платежа акциза </w:t>
      </w:r>
      <w:r>
        <w:rPr>
          <w:sz w:val="28"/>
        </w:rPr>
        <w:br/>
        <w:t xml:space="preserve">по алкогольной и (или) спиртосодержащей продукции производителями такой продукции. </w:t>
      </w:r>
      <w:proofErr w:type="gramStart"/>
      <w:r>
        <w:rPr>
          <w:sz w:val="28"/>
        </w:rPr>
        <w:t>Одновременно из статьи 9 Федерального закона от 22.11.1995 № 171-ФЗ исключается условие о необходимости представления извещения об уплате (освобождения об уплате) авансового платежа акциза при закупке этилового спирта, из статьи 12 - такое основание для отказа в выдаче федеральных специальных марок, как наличие сведений об аннулировании производителем алкогольной продукции извещения об уплате (освобождения об уплате) авансового платежа акциза, а из статьи 26</w:t>
      </w:r>
      <w:proofErr w:type="gramEnd"/>
      <w:r>
        <w:rPr>
          <w:sz w:val="28"/>
        </w:rPr>
        <w:t xml:space="preserve"> - запрет на отгрузку этилового спирта без уплаты авансового платежа акциза или представления банковской гарантии;</w:t>
      </w:r>
    </w:p>
    <w:p w:rsidR="00B126B9" w:rsidRDefault="00B50589">
      <w:pPr>
        <w:widowControl w:val="0"/>
        <w:spacing w:line="276" w:lineRule="auto"/>
        <w:ind w:firstLine="709"/>
        <w:jc w:val="both"/>
        <w:rPr>
          <w:sz w:val="28"/>
        </w:rPr>
      </w:pPr>
      <w:r>
        <w:rPr>
          <w:sz w:val="28"/>
        </w:rPr>
        <w:t xml:space="preserve">4) предусмотрена корректировка определения показателя </w:t>
      </w:r>
      <w:proofErr w:type="spellStart"/>
      <w:r>
        <w:rPr>
          <w:sz w:val="28"/>
        </w:rPr>
        <w:t>Ц</w:t>
      </w:r>
      <w:r>
        <w:rPr>
          <w:sz w:val="28"/>
          <w:vertAlign w:val="subscript"/>
        </w:rPr>
        <w:t>нефть</w:t>
      </w:r>
      <w:proofErr w:type="spellEnd"/>
      <w:r>
        <w:rPr>
          <w:sz w:val="28"/>
          <w:vertAlign w:val="subscript"/>
        </w:rPr>
        <w:t xml:space="preserve"> </w:t>
      </w:r>
      <w:r>
        <w:rPr>
          <w:sz w:val="28"/>
        </w:rPr>
        <w:t xml:space="preserve">и показателя </w:t>
      </w:r>
      <w:proofErr w:type="gramStart"/>
      <w:r>
        <w:rPr>
          <w:sz w:val="28"/>
        </w:rPr>
        <w:t>Ц</w:t>
      </w:r>
      <w:proofErr w:type="gramEnd"/>
      <w:r>
        <w:rPr>
          <w:sz w:val="28"/>
        </w:rPr>
        <w:t xml:space="preserve"> в связи с изменением порядка расчета цены на российскую нефть.</w:t>
      </w:r>
    </w:p>
    <w:p w:rsidR="00B126B9" w:rsidRDefault="00B50589">
      <w:pPr>
        <w:widowControl w:val="0"/>
        <w:spacing w:line="276" w:lineRule="auto"/>
        <w:ind w:firstLine="709"/>
        <w:jc w:val="both"/>
        <w:rPr>
          <w:sz w:val="28"/>
        </w:rPr>
      </w:pPr>
      <w:proofErr w:type="gramStart"/>
      <w:r>
        <w:rPr>
          <w:sz w:val="28"/>
        </w:rPr>
        <w:t>В связи отменой обязанности по уплате производителем алкогольной и (или) подакцизной спиртосодержащей продукции авансового платежа акциза при подготовке законопроекта ко второму чтению представляется целесообразным рассмотреть вопрос о признании утратившей силу нормы подпункта 16</w:t>
      </w:r>
      <w:r>
        <w:rPr>
          <w:sz w:val="28"/>
          <w:vertAlign w:val="superscript"/>
        </w:rPr>
        <w:t xml:space="preserve">1 </w:t>
      </w:r>
      <w:r>
        <w:rPr>
          <w:sz w:val="28"/>
        </w:rPr>
        <w:t>пункта 5 статьи 11</w:t>
      </w:r>
      <w:r>
        <w:rPr>
          <w:sz w:val="28"/>
          <w:vertAlign w:val="superscript"/>
        </w:rPr>
        <w:t>3</w:t>
      </w:r>
      <w:r>
        <w:rPr>
          <w:sz w:val="28"/>
        </w:rPr>
        <w:t xml:space="preserve"> Налогового кодекса, в которой извещение об уплате покупателем - производителем алкогольной и (или) подакцизной спиртосодержащей продукции авансового платежа акциза по алкогольной и (или) подакцизной</w:t>
      </w:r>
      <w:proofErr w:type="gramEnd"/>
      <w:r>
        <w:rPr>
          <w:sz w:val="28"/>
        </w:rPr>
        <w:t xml:space="preserve"> спиртосодержащей продукции указано в качестве одного из документов, на основании которого формируется совокупная обязанность.</w:t>
      </w:r>
    </w:p>
    <w:p w:rsidR="00B126B9" w:rsidRDefault="00B50589">
      <w:pPr>
        <w:widowControl w:val="0"/>
        <w:spacing w:line="276" w:lineRule="auto"/>
        <w:ind w:firstLine="709"/>
        <w:jc w:val="both"/>
        <w:rPr>
          <w:sz w:val="28"/>
        </w:rPr>
      </w:pPr>
      <w:r>
        <w:rPr>
          <w:b/>
          <w:sz w:val="28"/>
        </w:rPr>
        <w:lastRenderedPageBreak/>
        <w:t>4. В части налога на доходы физических лиц</w:t>
      </w:r>
      <w:r>
        <w:rPr>
          <w:sz w:val="28"/>
        </w:rPr>
        <w:t xml:space="preserve"> законопроектом предусмотрено </w:t>
      </w:r>
      <w:proofErr w:type="gramStart"/>
      <w:r>
        <w:rPr>
          <w:sz w:val="28"/>
        </w:rPr>
        <w:t>предоставление</w:t>
      </w:r>
      <w:proofErr w:type="gramEnd"/>
      <w:r>
        <w:rPr>
          <w:sz w:val="28"/>
        </w:rPr>
        <w:t xml:space="preserve"> как новых льгот, так и расширение существующих, в частности:</w:t>
      </w:r>
    </w:p>
    <w:p w:rsidR="00B126B9" w:rsidRDefault="00B50589">
      <w:pPr>
        <w:widowControl w:val="0"/>
        <w:spacing w:line="276" w:lineRule="auto"/>
        <w:ind w:firstLine="709"/>
        <w:jc w:val="both"/>
        <w:rPr>
          <w:sz w:val="28"/>
        </w:rPr>
      </w:pPr>
      <w:r>
        <w:rPr>
          <w:sz w:val="28"/>
        </w:rPr>
        <w:t>1) предлагается освободить от НДФЛ доходы в виде возмещения виновным лицом стоимости утраченного имущества (не более его рыночной стоимости) и расходов на восстановление имущества в случаях, предусмотренных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При этом не уточнен порядок определения рыночной стоимости утраченного имущества и подтверждения обоснованности расходов на восстановление имущества;</w:t>
      </w:r>
    </w:p>
    <w:p w:rsidR="00B126B9" w:rsidRDefault="00B50589">
      <w:pPr>
        <w:widowControl w:val="0"/>
        <w:spacing w:line="276" w:lineRule="auto"/>
        <w:ind w:firstLine="709"/>
        <w:jc w:val="both"/>
        <w:rPr>
          <w:sz w:val="28"/>
        </w:rPr>
      </w:pPr>
      <w:r>
        <w:rPr>
          <w:sz w:val="28"/>
        </w:rPr>
        <w:t>2) перечень освобождаемых от НДФЛ расходов, связанных со служебной командировкой и оплачиваемых работодателем, дополнен расходами по оформлению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w:t>
      </w:r>
    </w:p>
    <w:p w:rsidR="00B126B9" w:rsidRDefault="00B50589">
      <w:pPr>
        <w:widowControl w:val="0"/>
        <w:spacing w:line="276" w:lineRule="auto"/>
        <w:ind w:firstLine="709"/>
        <w:jc w:val="both"/>
        <w:rPr>
          <w:sz w:val="28"/>
        </w:rPr>
      </w:pPr>
      <w:r>
        <w:rPr>
          <w:sz w:val="28"/>
        </w:rPr>
        <w:t xml:space="preserve">3) перечень видов имущества и имущественных прав, при дарении которых доход в виде такого дара освобождается от </w:t>
      </w:r>
      <w:proofErr w:type="gramStart"/>
      <w:r>
        <w:rPr>
          <w:sz w:val="28"/>
        </w:rPr>
        <w:t>налогообложения</w:t>
      </w:r>
      <w:proofErr w:type="gramEnd"/>
      <w:r>
        <w:rPr>
          <w:sz w:val="28"/>
        </w:rPr>
        <w:t xml:space="preserve"> только если даритель и одаряемый являются членами семьи и (или) близкими родственниками, дополняется ценными бумагами и производными финансовыми инструментами;</w:t>
      </w:r>
    </w:p>
    <w:p w:rsidR="00B126B9" w:rsidRDefault="00B50589">
      <w:pPr>
        <w:widowControl w:val="0"/>
        <w:spacing w:line="276" w:lineRule="auto"/>
        <w:ind w:firstLine="709"/>
        <w:jc w:val="both"/>
        <w:rPr>
          <w:sz w:val="28"/>
        </w:rPr>
      </w:pPr>
      <w:r>
        <w:rPr>
          <w:sz w:val="28"/>
        </w:rPr>
        <w:t>4) льгота для семей с детьми в отношении дохода от продажи жилого помещения в целях улучшения жилищных условий распространена на семьи с детьми, признанными судом недееспособными, вне зависимости от их возраста, а также на семьи, в которых ребенок родился после продажи жилья до 30 апреля следующего года. Установлено, что при предоставлении указанной льготы учитывается не только общая площадь, но и кадастровая стоимость иного жилого помещения, имеющегося в собственности налогоплательщика на момент продажи жилья.</w:t>
      </w:r>
    </w:p>
    <w:p w:rsidR="00B126B9" w:rsidRDefault="00B50589">
      <w:pPr>
        <w:widowControl w:val="0"/>
        <w:spacing w:line="276" w:lineRule="auto"/>
        <w:ind w:firstLine="709"/>
        <w:jc w:val="both"/>
        <w:rPr>
          <w:sz w:val="28"/>
        </w:rPr>
      </w:pPr>
      <w:r>
        <w:rPr>
          <w:sz w:val="28"/>
        </w:rPr>
        <w:t>Кроме того, законопроектом устанавливается ряд положений направленных на регулирование особенностей порядка исчисления и уплаты НДФЛ:</w:t>
      </w:r>
    </w:p>
    <w:p w:rsidR="00B126B9" w:rsidRDefault="00B50589">
      <w:pPr>
        <w:widowControl w:val="0"/>
        <w:spacing w:line="276" w:lineRule="auto"/>
        <w:ind w:firstLine="709"/>
        <w:jc w:val="both"/>
        <w:rPr>
          <w:sz w:val="28"/>
        </w:rPr>
      </w:pPr>
      <w:r>
        <w:rPr>
          <w:sz w:val="28"/>
        </w:rPr>
        <w:t xml:space="preserve">1) уравнены условия освобождения от налогообложения доходов от реализации находящихся в собственности налогоплательщика более пяти лет долей участия в уставном капитале российских организаций и акций. </w:t>
      </w:r>
      <w:proofErr w:type="gramStart"/>
      <w:r>
        <w:rPr>
          <w:sz w:val="28"/>
        </w:rPr>
        <w:t xml:space="preserve">Так, указанная льгота будет применяться в отношении акций только российских организаций, а в отношении долей участия в уставном капитале российских организаций - только при условии, что эти доли составляют уставный капитал таких организаций, не более 50 процентов активов которых, по </w:t>
      </w:r>
      <w:r>
        <w:rPr>
          <w:sz w:val="28"/>
        </w:rPr>
        <w:lastRenderedPageBreak/>
        <w:t>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w:t>
      </w:r>
      <w:proofErr w:type="gramEnd"/>
      <w:r>
        <w:rPr>
          <w:sz w:val="28"/>
        </w:rPr>
        <w:t xml:space="preserve"> Федерации;</w:t>
      </w:r>
    </w:p>
    <w:p w:rsidR="00B126B9" w:rsidRDefault="00B50589">
      <w:pPr>
        <w:widowControl w:val="0"/>
        <w:spacing w:line="276" w:lineRule="auto"/>
        <w:ind w:firstLine="709"/>
        <w:jc w:val="both"/>
        <w:rPr>
          <w:sz w:val="28"/>
        </w:rPr>
      </w:pPr>
      <w:proofErr w:type="gramStart"/>
      <w:r>
        <w:rPr>
          <w:sz w:val="28"/>
        </w:rPr>
        <w:t>2) к целях предоставления стандартного налогового вычета на детей учитываются только доходы, относящиеся к основной налоговой базе, в том числе при ее исчислении налоговым органом;</w:t>
      </w:r>
      <w:proofErr w:type="gramEnd"/>
    </w:p>
    <w:p w:rsidR="00B126B9" w:rsidRDefault="00B50589">
      <w:pPr>
        <w:widowControl w:val="0"/>
        <w:spacing w:line="276" w:lineRule="auto"/>
        <w:ind w:firstLine="709"/>
        <w:jc w:val="both"/>
        <w:rPr>
          <w:sz w:val="28"/>
        </w:rPr>
      </w:pPr>
      <w:r>
        <w:rPr>
          <w:sz w:val="28"/>
        </w:rPr>
        <w:t xml:space="preserve">3) в </w:t>
      </w:r>
      <w:proofErr w:type="gramStart"/>
      <w:r>
        <w:rPr>
          <w:sz w:val="28"/>
        </w:rPr>
        <w:t>случаях</w:t>
      </w:r>
      <w:proofErr w:type="gramEnd"/>
      <w:r>
        <w:rPr>
          <w:sz w:val="28"/>
        </w:rPr>
        <w:t xml:space="preserve"> когда налог не был удержан налоговыми агентами полностью, а также в случае частичного </w:t>
      </w:r>
      <w:proofErr w:type="spellStart"/>
      <w:r>
        <w:rPr>
          <w:sz w:val="28"/>
        </w:rPr>
        <w:t>неудержания</w:t>
      </w:r>
      <w:proofErr w:type="spellEnd"/>
      <w:r>
        <w:rPr>
          <w:sz w:val="28"/>
        </w:rPr>
        <w:t xml:space="preserve"> налога налоговым агентом, налогоплательщик самостоятельно исчисляет и уплачивает налог;</w:t>
      </w:r>
    </w:p>
    <w:p w:rsidR="00B126B9" w:rsidRDefault="00B50589">
      <w:pPr>
        <w:widowControl w:val="0"/>
        <w:spacing w:line="276" w:lineRule="auto"/>
        <w:ind w:firstLine="709"/>
        <w:jc w:val="both"/>
        <w:rPr>
          <w:sz w:val="28"/>
        </w:rPr>
      </w:pPr>
      <w:r>
        <w:rPr>
          <w:sz w:val="28"/>
        </w:rPr>
        <w:t>4) устанавливается, что сумма налога в отношении выигрышей, полученных участниками азартных игр, проводимых в букмекерской конторе и тотализаторе, исчисляется налоговым агентом отдельно по каждой сумме выигрыша вне зависимости от размера выигрыша;</w:t>
      </w:r>
    </w:p>
    <w:p w:rsidR="00B126B9" w:rsidRDefault="00B50589">
      <w:pPr>
        <w:widowControl w:val="0"/>
        <w:spacing w:line="276" w:lineRule="auto"/>
        <w:ind w:firstLine="709"/>
        <w:jc w:val="both"/>
        <w:rPr>
          <w:sz w:val="28"/>
        </w:rPr>
      </w:pPr>
      <w:r>
        <w:rPr>
          <w:sz w:val="28"/>
        </w:rPr>
        <w:t xml:space="preserve">5) налогообложение доходов физических лиц, имевших в течение хотя бы одного дня налогового периода, в котором получен соответствующий доход, статус иностранного агента, предлагается облагать по ставке 30 процентов. </w:t>
      </w:r>
      <w:proofErr w:type="gramStart"/>
      <w:r>
        <w:rPr>
          <w:sz w:val="28"/>
        </w:rPr>
        <w:t>Кроме того, для указанной категории лиц предлагается ограничить возможность применения налоговых льгот, в частности, предусмотренного статьей 217 Налогового кодекса освобождения от налогообложения доходов от продажи имущества, находившегося в собственности в течение минимального предельного срока владения, и доходов, полученных в порядке наследования или дарения, а также применения инвестиционных налоговых вычетов и налоговых вычетов на долгосрочные сбережения граждан.</w:t>
      </w:r>
      <w:proofErr w:type="gramEnd"/>
    </w:p>
    <w:p w:rsidR="00B126B9" w:rsidRDefault="00B50589">
      <w:pPr>
        <w:widowControl w:val="0"/>
        <w:spacing w:line="276" w:lineRule="auto"/>
        <w:ind w:firstLine="709"/>
        <w:jc w:val="both"/>
        <w:rPr>
          <w:sz w:val="28"/>
        </w:rPr>
      </w:pPr>
      <w:r>
        <w:rPr>
          <w:b/>
          <w:sz w:val="28"/>
        </w:rPr>
        <w:t>5. В части налога на прибыль организаций</w:t>
      </w:r>
      <w:r>
        <w:rPr>
          <w:sz w:val="28"/>
        </w:rPr>
        <w:t xml:space="preserve"> законопроектом предусматриваются следующие меры:</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1) статья 249 Налогового кодекса дополняется положением, устанавливающим, что при передаче товаров, имущественных прав, выполнении работ, оказании услуг в счет погашения денежных обязательств, возникших «вне договорных отношений, связанных с указанной передачей товаров, имущественных прав, выполнением работ, оказанием услуг», выручка от реализации определяется как величина этого погашаемого обязательства;</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 xml:space="preserve">2) предусматривается, что при определении налоговой базы не будут учитываться доходы в виде имущества (имущественных прав), результатов работ (услуг) в случае, если обязанность по их получению  предусмотрена не только законодательством Российской Федерации, но и законодательством субъектов Российской Федерации и актами Правительства Российской </w:t>
      </w:r>
      <w:r>
        <w:rPr>
          <w:sz w:val="28"/>
        </w:rPr>
        <w:lastRenderedPageBreak/>
        <w:t>Федерации;</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 xml:space="preserve">3) уточняется, что применение повышающего коэффициента 2 к расходам на приобретение права на использование программ для ЭВМ и баз данных, программно-аппаратных комплексов по лицензионным и </w:t>
      </w:r>
      <w:proofErr w:type="spellStart"/>
      <w:r>
        <w:rPr>
          <w:sz w:val="28"/>
        </w:rPr>
        <w:t>сублицензионным</w:t>
      </w:r>
      <w:proofErr w:type="spellEnd"/>
      <w:r>
        <w:rPr>
          <w:sz w:val="28"/>
        </w:rPr>
        <w:t xml:space="preserve"> соглашениям возможно только при условии, если передача налогоплательщиком соответствующего права другим лицам не предусмотрена;</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4) уточняется, что к внереализационным расходам относятся расходы в виде стоимости безвозмездно переданного некоммерческим организациям имущества в качестве пожертвования;</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5) налогообложение прибыли организаторов азартных игр в букмекерских конторах и тотализаторах будет осуществляться в общеустановленном порядке;</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6) статья 266 Налогового кодекса дополняется положениями, в соответствии с которыми предлагается:</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 признавать сомнительным долгом также задолженность по уплате штрафов, пеней и иных санкций по договорам, по которым задолженность, возникшая в связи с реализацией товаров, выполнением работ, оказанием услуг, признана сомнительной;</w:t>
      </w:r>
    </w:p>
    <w:p w:rsidR="00B126B9" w:rsidRDefault="00B50589">
      <w:pPr>
        <w:pStyle w:val="ad"/>
        <w:widowControl w:val="0"/>
        <w:tabs>
          <w:tab w:val="center" w:pos="4677"/>
          <w:tab w:val="right" w:pos="9355"/>
        </w:tabs>
        <w:spacing w:after="0" w:line="276" w:lineRule="auto"/>
        <w:ind w:left="0" w:firstLine="709"/>
        <w:jc w:val="both"/>
        <w:rPr>
          <w:sz w:val="28"/>
        </w:rPr>
      </w:pPr>
      <w:proofErr w:type="gramStart"/>
      <w:r>
        <w:rPr>
          <w:sz w:val="28"/>
        </w:rPr>
        <w:t>- в составе безнадежных долгов учитывать приобретенные по номиналу налогоплательщиком (новым гарантирующим поставщиком электрической мощности (энергии) права требования к предыдущему гарантирующему поставщику электрической мощности (энергии) как условие осуществления деятельности гарантирующего поставщика в соответствии с законодательством Российской Федерации;</w:t>
      </w:r>
      <w:proofErr w:type="gramEnd"/>
    </w:p>
    <w:p w:rsidR="00B126B9" w:rsidRDefault="00B50589">
      <w:pPr>
        <w:pStyle w:val="ad"/>
        <w:widowControl w:val="0"/>
        <w:tabs>
          <w:tab w:val="center" w:pos="4677"/>
          <w:tab w:val="right" w:pos="9355"/>
        </w:tabs>
        <w:spacing w:after="0" w:line="276" w:lineRule="auto"/>
        <w:ind w:left="0" w:firstLine="709"/>
        <w:jc w:val="both"/>
        <w:rPr>
          <w:sz w:val="28"/>
        </w:rPr>
      </w:pPr>
      <w:r>
        <w:rPr>
          <w:sz w:val="28"/>
        </w:rPr>
        <w:t xml:space="preserve">7) с целью </w:t>
      </w:r>
      <w:proofErr w:type="gramStart"/>
      <w:r>
        <w:rPr>
          <w:sz w:val="28"/>
        </w:rPr>
        <w:t>минимизации выпадающих доходов бюджетов бюджетной системы Российской Федерации</w:t>
      </w:r>
      <w:proofErr w:type="gramEnd"/>
      <w:r>
        <w:rPr>
          <w:sz w:val="28"/>
        </w:rPr>
        <w:t xml:space="preserve"> планируется продление 50% ограничения на зачет убытков, полученных в предыдущих налоговых периодах, при исчислении налоговой базы текущего периода до 2030 года. Данная мера была заявлена в ОНБНТП на 2025 год и на плановый период 2026 и 2027 годов в целях  обеспечение синхронизации срока ее действия с временным перераспределением одного процентного пункта налога на прибыль организаций между федеральным бюджетом и бюджетами субъектов Российской Федерации;</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8) устанавливается, что налоговая ставка 0 процентов, предусмотренная пунктом 1</w:t>
      </w:r>
      <w:r>
        <w:rPr>
          <w:sz w:val="28"/>
          <w:vertAlign w:val="superscript"/>
        </w:rPr>
        <w:t>15</w:t>
      </w:r>
      <w:r>
        <w:rPr>
          <w:sz w:val="28"/>
        </w:rPr>
        <w:t xml:space="preserve"> статьи 284 Налогового кодекса для российских организаций, осуществляющих деятельность в области информационных технологий, не будет подлежать применению организациями, имеющими статус участника проекта по осуществлению исследований, разработок и </w:t>
      </w:r>
      <w:r>
        <w:rPr>
          <w:sz w:val="28"/>
        </w:rPr>
        <w:lastRenderedPageBreak/>
        <w:t>коммерциализации их результатов в соответствии с Федеральным законом «Об инновационном центре «</w:t>
      </w:r>
      <w:proofErr w:type="spellStart"/>
      <w:r>
        <w:rPr>
          <w:sz w:val="28"/>
        </w:rPr>
        <w:t>Сколково</w:t>
      </w:r>
      <w:proofErr w:type="spellEnd"/>
      <w:r>
        <w:rPr>
          <w:sz w:val="28"/>
        </w:rPr>
        <w:t>»;</w:t>
      </w:r>
    </w:p>
    <w:p w:rsidR="00B126B9" w:rsidRDefault="00B50589">
      <w:pPr>
        <w:pStyle w:val="ad"/>
        <w:widowControl w:val="0"/>
        <w:spacing w:after="0" w:line="276" w:lineRule="auto"/>
        <w:ind w:left="0" w:firstLine="709"/>
        <w:jc w:val="both"/>
        <w:rPr>
          <w:sz w:val="28"/>
        </w:rPr>
      </w:pPr>
      <w:proofErr w:type="gramStart"/>
      <w:r>
        <w:rPr>
          <w:sz w:val="28"/>
        </w:rPr>
        <w:t xml:space="preserve">9) с целью имплементации в российское законодательство налоговых правил </w:t>
      </w:r>
      <w:proofErr w:type="spellStart"/>
      <w:r>
        <w:rPr>
          <w:sz w:val="28"/>
        </w:rPr>
        <w:t>Pillar</w:t>
      </w:r>
      <w:proofErr w:type="spellEnd"/>
      <w:r>
        <w:rPr>
          <w:sz w:val="28"/>
        </w:rPr>
        <w:t xml:space="preserve"> 2 для борьбы с размыванием налогооблагаемой базы и переводом прибыли международных компаний в низконалоговые юрисдикции устанавливается порядок уплаты налога на прибыль организаций российскими участниками международных групп компаний в размере, необходимом для достижения минимального уровня налогообложения не ниже 15%. Обращаем внимание, что проектируемая статья 288</w:t>
      </w:r>
      <w:r>
        <w:rPr>
          <w:sz w:val="28"/>
          <w:vertAlign w:val="superscript"/>
        </w:rPr>
        <w:t>5</w:t>
      </w:r>
      <w:r>
        <w:rPr>
          <w:sz w:val="28"/>
        </w:rPr>
        <w:t xml:space="preserve"> Налогового кодекса вступает в силу с</w:t>
      </w:r>
      <w:proofErr w:type="gramEnd"/>
      <w:r>
        <w:rPr>
          <w:sz w:val="28"/>
        </w:rPr>
        <w:t xml:space="preserve"> </w:t>
      </w:r>
      <w:proofErr w:type="gramStart"/>
      <w:r>
        <w:rPr>
          <w:sz w:val="28"/>
        </w:rPr>
        <w:t>1 января 2026 года, вместе с тем сроки подготовки приказов Минфина России «Об утверждении перечня государств (территорий), законодательством которых предусмотрены правила минимального эффективного уровня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и «Об утверждении перечня государств (территорий), законодательством которого предусмотрены правила экстерриториального налогообложения в соответствии</w:t>
      </w:r>
      <w:proofErr w:type="gramEnd"/>
      <w:r>
        <w:rPr>
          <w:sz w:val="28"/>
        </w:rPr>
        <w:t xml:space="preserve">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определены 19 декабря 2026 года. </w:t>
      </w:r>
      <w:proofErr w:type="gramStart"/>
      <w:r>
        <w:rPr>
          <w:sz w:val="28"/>
        </w:rPr>
        <w:t>Также в указанной статье используются термин «промежуточные холдинговые компании», который не определен ни в законодательстве Российской Федерации, ни в рассматриваемом законопроекте;</w:t>
      </w:r>
      <w:proofErr w:type="gramEnd"/>
    </w:p>
    <w:p w:rsidR="00B126B9" w:rsidRDefault="00B50589">
      <w:pPr>
        <w:pStyle w:val="ad"/>
        <w:widowControl w:val="0"/>
        <w:spacing w:after="0" w:line="276" w:lineRule="auto"/>
        <w:ind w:left="0" w:firstLine="709"/>
        <w:jc w:val="both"/>
        <w:rPr>
          <w:sz w:val="28"/>
        </w:rPr>
      </w:pPr>
      <w:r>
        <w:rPr>
          <w:sz w:val="28"/>
        </w:rPr>
        <w:t xml:space="preserve">10) вводятся ограничения на использование налоговых преференций организациями, имеющими статус иностранного агента, и организациями, в которых указанные организации владеют прямо или косвенно долей участия в уставном капитале в размере 10 процентов и более. </w:t>
      </w:r>
      <w:proofErr w:type="gramStart"/>
      <w:r>
        <w:rPr>
          <w:sz w:val="28"/>
        </w:rPr>
        <w:t>Вместе с тем обращаем внимание, что статьей 5 Налогового кодекса, а также Федеральным законом «О внесении изменений в статью 5 части первой Налогового кодекса Российской Федерации» (проект № 936458-8), принятым Государственной Думой 7 октября 2025 года для налогоплательщиков - участников специальных инвестиционных контрактов, резидентов территорий опережающего развития, резидентов свободного порта Владивосток, резидентов особых экономических зон и резидентов ОЭЗ в Калининградской области предусмотрены</w:t>
      </w:r>
      <w:proofErr w:type="gramEnd"/>
      <w:r>
        <w:rPr>
          <w:sz w:val="28"/>
        </w:rPr>
        <w:t xml:space="preserve"> стабилизационные оговорки, обеспечивающие неизменность налоговых условий в части увеличения и (или) отмены пониженных налоговых ставок;</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lastRenderedPageBreak/>
        <w:t>11) устанавливается, что стоимость имущества, полученного государственными корпорациями в качестве взноса от Банка России, определяется также как стоимость имущества, полученного от Российской Федерации;</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12) уточняются параметры инвестиционного налогового вычета:</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 сохраняется право его применения организациями, являющимися субъектами естественной монополии и осуществляющими транспортировку нефти и (или) нефтепродуктов по системе магистральных трубопроводов, и их соответствующих дочерних обществ;</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 установлен прямой запрет на применение инвестиционного налогового вычета и федерального инвестиционного вычета к одним и тем же объектам основных средств и нематериальным активам;</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 сумма налога, подлежащая уплате в федеральный бюджет в текущем налоговом периоде, не может быть уменьшена на величину большую, чем расчетная сумма налога, исчисленная от налоговой базы текущего налогового периода, при условии применения ставки налога в размере 2 процентов (3 процентов - в 2025 - 2030 годах);</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13) уточняются параметры федерального инвестиционного налогового вычета:</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w:t>
      </w:r>
      <w:r>
        <w:rPr>
          <w:b/>
          <w:sz w:val="28"/>
        </w:rPr>
        <w:t> </w:t>
      </w:r>
      <w:r>
        <w:rPr>
          <w:sz w:val="28"/>
        </w:rPr>
        <w:t>предоставляется возможность его применения любым лицом, входящим в одну группу с налогоплательщиком, осуществившим капитальные вложения, вне зависимости от отрасли, в которой осуществляет деятельность такое лицо;</w:t>
      </w:r>
    </w:p>
    <w:p w:rsidR="00B126B9" w:rsidRDefault="00B50589">
      <w:pPr>
        <w:pStyle w:val="ad"/>
        <w:widowControl w:val="0"/>
        <w:tabs>
          <w:tab w:val="center" w:pos="4677"/>
          <w:tab w:val="right" w:pos="9355"/>
        </w:tabs>
        <w:spacing w:after="0" w:line="276" w:lineRule="auto"/>
        <w:ind w:left="0" w:firstLine="709"/>
        <w:jc w:val="both"/>
        <w:rPr>
          <w:sz w:val="28"/>
        </w:rPr>
      </w:pPr>
      <w:r>
        <w:rPr>
          <w:sz w:val="28"/>
        </w:rPr>
        <w:t xml:space="preserve">- сумма налога, подлежащая уплате в федеральный бюджет в текущем налоговом периоде, не может быть уменьшена на величину большую, чем расчетная сумма налога, исчисленная от налоговой базы текущего налогового периода, при условии применения ставки налога в размере </w:t>
      </w:r>
      <w:r>
        <w:rPr>
          <w:sz w:val="28"/>
        </w:rPr>
        <w:br/>
        <w:t>5 процентов.</w:t>
      </w:r>
    </w:p>
    <w:p w:rsidR="00B126B9" w:rsidRDefault="00B50589">
      <w:pPr>
        <w:widowControl w:val="0"/>
        <w:spacing w:line="276" w:lineRule="auto"/>
        <w:ind w:firstLine="709"/>
        <w:jc w:val="both"/>
        <w:rPr>
          <w:sz w:val="28"/>
        </w:rPr>
      </w:pPr>
      <w:r>
        <w:rPr>
          <w:b/>
          <w:sz w:val="28"/>
        </w:rPr>
        <w:t>6. В части водного налога</w:t>
      </w:r>
      <w:r>
        <w:rPr>
          <w:sz w:val="28"/>
        </w:rPr>
        <w:t xml:space="preserve"> законопроектом предлагается уточнение порядка расчета налога с 2026 года и устранение правовой неопределенности в отношении федерального органа исполнительной власти, определяющего коэффициент, учитывающий фактическое изменение потребительских цен.</w:t>
      </w:r>
    </w:p>
    <w:p w:rsidR="00B126B9" w:rsidRDefault="00B50589">
      <w:pPr>
        <w:widowControl w:val="0"/>
        <w:spacing w:line="276" w:lineRule="auto"/>
        <w:ind w:firstLine="709"/>
        <w:jc w:val="both"/>
        <w:rPr>
          <w:sz w:val="28"/>
        </w:rPr>
      </w:pPr>
      <w:r>
        <w:rPr>
          <w:b/>
          <w:sz w:val="28"/>
        </w:rPr>
        <w:t>7. В части государственной пошлины</w:t>
      </w:r>
      <w:r>
        <w:rPr>
          <w:sz w:val="28"/>
        </w:rPr>
        <w:t xml:space="preserve"> законопроектом предлагаются следующие меры:</w:t>
      </w:r>
    </w:p>
    <w:p w:rsidR="00B126B9" w:rsidRDefault="00B50589">
      <w:pPr>
        <w:widowControl w:val="0"/>
        <w:spacing w:line="276" w:lineRule="auto"/>
        <w:ind w:firstLine="709"/>
        <w:jc w:val="both"/>
        <w:rPr>
          <w:sz w:val="28"/>
        </w:rPr>
      </w:pPr>
      <w:r>
        <w:rPr>
          <w:sz w:val="28"/>
        </w:rPr>
        <w:t xml:space="preserve">1) устанавливается государственная пошлина за внесение сведений об обороте товаров, подлежащих обязательной маркировке, в государственную информационную систему мониторинга за оборотом товаров, подлежащих обязательной маркировке средствами идентификации, размер которой предлагается устанавливать Правительством Российской Федерации. </w:t>
      </w:r>
      <w:proofErr w:type="gramStart"/>
      <w:r>
        <w:rPr>
          <w:sz w:val="28"/>
        </w:rPr>
        <w:lastRenderedPageBreak/>
        <w:t>Обращаем внимание, что в соответствии с Федеральным законом от 28.12.2009 № 381-ФЗ «Об основах государственного регулирования торговой деятельности в Российской Федерации» Правительство Российской Федерации наделено полномочием по утверждению размера платы за оказание услуг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а также порядка ее взимания.</w:t>
      </w:r>
      <w:proofErr w:type="gramEnd"/>
      <w:r>
        <w:rPr>
          <w:sz w:val="28"/>
        </w:rPr>
        <w:t xml:space="preserve"> Взимание государственной пошлины за предлагаемые законопроектом действия указанным Федеральным законом не предусмотрено.</w:t>
      </w:r>
    </w:p>
    <w:p w:rsidR="00B126B9" w:rsidRDefault="00B50589">
      <w:pPr>
        <w:widowControl w:val="0"/>
        <w:spacing w:line="276" w:lineRule="auto"/>
        <w:ind w:firstLine="709"/>
        <w:jc w:val="both"/>
        <w:rPr>
          <w:sz w:val="28"/>
        </w:rPr>
      </w:pPr>
      <w:r>
        <w:rPr>
          <w:sz w:val="28"/>
        </w:rPr>
        <w:t>Кроме того, Комитет обращает внимание, что в силу пункта 3 статьи 17 Налогового кодекса при установлении сборов элементы обложения применительно к конкретным сборам определяются в Налоговом кодексе. Как отметил Конституционный Суд Российской Федерации, указанное предполагает необходимость установления всех элементов обложения государственной пошлины федеральным законодателем, что вытекает из конституционного требования к законному установлению налогов и сборов (определение Конституционного Суда Российской Федерации от 25.03.2021 № 561-О).</w:t>
      </w:r>
    </w:p>
    <w:p w:rsidR="00B126B9" w:rsidRDefault="00B50589">
      <w:pPr>
        <w:widowControl w:val="0"/>
        <w:spacing w:line="276" w:lineRule="auto"/>
        <w:ind w:firstLine="709"/>
        <w:jc w:val="both"/>
        <w:rPr>
          <w:sz w:val="28"/>
        </w:rPr>
      </w:pPr>
      <w:r>
        <w:rPr>
          <w:sz w:val="28"/>
        </w:rPr>
        <w:t>Таким образом, включение в законопроект проектируемой нормы требует дополнительного обоснования;</w:t>
      </w:r>
    </w:p>
    <w:p w:rsidR="00B126B9" w:rsidRDefault="00B50589">
      <w:pPr>
        <w:widowControl w:val="0"/>
        <w:spacing w:line="276" w:lineRule="auto"/>
        <w:ind w:firstLine="709"/>
        <w:jc w:val="both"/>
        <w:rPr>
          <w:sz w:val="28"/>
        </w:rPr>
      </w:pPr>
      <w:r>
        <w:rPr>
          <w:sz w:val="28"/>
        </w:rPr>
        <w:t>2) исключаются положения, касающиеся взимания государственной пошлины за выдачу акцизных марок, в связи с отменой маркировки акцизными марками алкогольной продукции, ввозимой (импортируемой) в Российскую Федерацию;</w:t>
      </w:r>
    </w:p>
    <w:p w:rsidR="00B126B9" w:rsidRDefault="00B50589">
      <w:pPr>
        <w:widowControl w:val="0"/>
        <w:spacing w:line="276" w:lineRule="auto"/>
        <w:ind w:firstLine="709"/>
        <w:jc w:val="both"/>
        <w:rPr>
          <w:sz w:val="28"/>
        </w:rPr>
      </w:pPr>
      <w:r>
        <w:rPr>
          <w:sz w:val="28"/>
        </w:rPr>
        <w:t>3) уточняются сроки уплаты государственной пошлины ответчиками (административными ответчиками) в судах общей юрисдикции, Верховном Суде Российской Федерации, арбитражных судах или по делам, рассматриваемым мировыми судьями, если при этом решение суда принято не в их пользу и истец (административный истец) освобожден от уплаты государственной пошлины;</w:t>
      </w:r>
    </w:p>
    <w:p w:rsidR="00B126B9" w:rsidRDefault="00B50589">
      <w:pPr>
        <w:widowControl w:val="0"/>
        <w:spacing w:line="276" w:lineRule="auto"/>
        <w:ind w:firstLine="709"/>
        <w:jc w:val="both"/>
        <w:rPr>
          <w:sz w:val="28"/>
        </w:rPr>
      </w:pPr>
      <w:r>
        <w:rPr>
          <w:sz w:val="28"/>
        </w:rPr>
        <w:t>4) расширяется круг органов, взимающих государственную пошлину организациями, наделенными федеральным законом отдельными государственными полномочиями.</w:t>
      </w:r>
    </w:p>
    <w:p w:rsidR="00B126B9" w:rsidRDefault="00B50589">
      <w:pPr>
        <w:widowControl w:val="0"/>
        <w:spacing w:line="276" w:lineRule="auto"/>
        <w:ind w:firstLine="709"/>
        <w:jc w:val="both"/>
        <w:rPr>
          <w:sz w:val="28"/>
        </w:rPr>
      </w:pPr>
      <w:r>
        <w:rPr>
          <w:b/>
          <w:sz w:val="28"/>
        </w:rPr>
        <w:t>8. </w:t>
      </w:r>
      <w:proofErr w:type="gramStart"/>
      <w:r>
        <w:rPr>
          <w:b/>
          <w:sz w:val="28"/>
        </w:rPr>
        <w:t>В части налогообложения добычи полезных ископаемых</w:t>
      </w:r>
      <w:r>
        <w:rPr>
          <w:sz w:val="28"/>
        </w:rPr>
        <w:t xml:space="preserve"> в рамках налога на дополнительный доход от добычи углеводородного сырья (далее - НДД), налога на добычу полезных ископаемых (далее - НДПИ), соглашений о разделе продукции, а также Закона Российской Федерации от 21.05.1993 № 5003-1 «О таможенном тарифе» (далее - Закон № 5003-1) предложенные </w:t>
      </w:r>
      <w:r>
        <w:rPr>
          <w:sz w:val="28"/>
        </w:rPr>
        <w:lastRenderedPageBreak/>
        <w:t>законопроектом изменения носят в основном уточняющий характер.</w:t>
      </w:r>
      <w:proofErr w:type="gramEnd"/>
    </w:p>
    <w:p w:rsidR="00B126B9" w:rsidRDefault="00B50589">
      <w:pPr>
        <w:widowControl w:val="0"/>
        <w:spacing w:line="276" w:lineRule="auto"/>
        <w:ind w:firstLine="709"/>
        <w:jc w:val="both"/>
        <w:rPr>
          <w:sz w:val="28"/>
        </w:rPr>
      </w:pPr>
      <w:r>
        <w:rPr>
          <w:sz w:val="28"/>
        </w:rPr>
        <w:t>Необходимо отметить следующие основные изменения, предлагаемые законопроектом:</w:t>
      </w:r>
    </w:p>
    <w:p w:rsidR="00B126B9" w:rsidRDefault="00B50589">
      <w:pPr>
        <w:widowControl w:val="0"/>
        <w:spacing w:line="276" w:lineRule="auto"/>
        <w:ind w:firstLine="709"/>
        <w:jc w:val="both"/>
        <w:rPr>
          <w:sz w:val="28"/>
        </w:rPr>
      </w:pPr>
      <w:r>
        <w:rPr>
          <w:sz w:val="28"/>
        </w:rPr>
        <w:t xml:space="preserve">1) с целью обеспечения необходимости добычи в условиях низкой рентабельности законопроектом устанавливается новый налоговый вычет по НДПИ при добыче железной руды, на участках недр, расположенных </w:t>
      </w:r>
      <w:proofErr w:type="gramStart"/>
      <w:r>
        <w:rPr>
          <w:sz w:val="28"/>
        </w:rPr>
        <w:t>в</w:t>
      </w:r>
      <w:proofErr w:type="gramEnd"/>
      <w:r>
        <w:rPr>
          <w:sz w:val="28"/>
        </w:rPr>
        <w:t xml:space="preserve"> </w:t>
      </w:r>
      <w:proofErr w:type="gramStart"/>
      <w:r>
        <w:rPr>
          <w:sz w:val="28"/>
        </w:rPr>
        <w:t>Оленегорском</w:t>
      </w:r>
      <w:proofErr w:type="gramEnd"/>
      <w:r>
        <w:rPr>
          <w:sz w:val="28"/>
        </w:rPr>
        <w:t xml:space="preserve"> районе Мурманской области. </w:t>
      </w:r>
      <w:proofErr w:type="gramStart"/>
      <w:r>
        <w:rPr>
          <w:sz w:val="28"/>
        </w:rPr>
        <w:t>Указанный вычет планируется предоставлять на период с 1 января 2026 года по 31 декабря 2030 года в размере фактически оплаченных налогоплательщиком сумм расходов на приобретение, сооружение, изготовление, доставку объектов основных средств и доведение таких объектов до состояния, в котором они пригодны для использования</w:t>
      </w:r>
      <w:r>
        <w:rPr>
          <w:rFonts w:ascii="Times New Roman CYR" w:hAnsi="Times New Roman CYR"/>
          <w:sz w:val="28"/>
        </w:rPr>
        <w:t xml:space="preserve"> </w:t>
      </w:r>
      <w:r>
        <w:rPr>
          <w:sz w:val="28"/>
        </w:rPr>
        <w:t>с коэффициентом 0,5, но не более 10 млрд. руб. за указанный период.</w:t>
      </w:r>
      <w:proofErr w:type="gramEnd"/>
      <w:r>
        <w:rPr>
          <w:sz w:val="28"/>
        </w:rPr>
        <w:t xml:space="preserve"> Введение возможности уменьшения суммы налога на сумму указанного вычета согласно финансово-экономическому обоснованию приведет к уменьшению поступлений в федеральный бюджет на сумму порядка 1,522 млрд. руб. в 2026 году, 1,66 млрд. руб. в 2027 году и 1,66 млрд. руб. в 2028 году.</w:t>
      </w:r>
    </w:p>
    <w:p w:rsidR="00B126B9" w:rsidRDefault="00B50589">
      <w:pPr>
        <w:widowControl w:val="0"/>
        <w:spacing w:line="276" w:lineRule="auto"/>
        <w:ind w:firstLine="709"/>
        <w:jc w:val="both"/>
        <w:rPr>
          <w:sz w:val="28"/>
        </w:rPr>
      </w:pPr>
      <w:r>
        <w:rPr>
          <w:sz w:val="28"/>
        </w:rPr>
        <w:t>Указанные изменения стали результатом проводимой работы по оценке эффективности налоговых льгот и преференциальных налоговых режимов в части влияния налоговых льгот на финансово-экономические показатели деятельности налогоплательщиков;</w:t>
      </w:r>
    </w:p>
    <w:p w:rsidR="00B126B9" w:rsidRDefault="00B50589">
      <w:pPr>
        <w:widowControl w:val="0"/>
        <w:spacing w:line="276" w:lineRule="auto"/>
        <w:ind w:firstLine="709"/>
        <w:jc w:val="both"/>
        <w:rPr>
          <w:sz w:val="28"/>
        </w:rPr>
      </w:pPr>
      <w:r>
        <w:rPr>
          <w:sz w:val="28"/>
        </w:rPr>
        <w:t xml:space="preserve">2) в целях упрощения налогового учета и налогового администрирования по НДД уточняется перечень оснований для восстановления фактических расходов за счет уменьшения сумм исчисленных налогов и уменьшения сумм стоимости приобретенных товаров, учтенных в составе фактических расходов предыдущих налоговых периодов. В рамках Налогового кодекса и Закона № 5003-1 уточняется формула расчета цены на российскую нефть в целях </w:t>
      </w:r>
      <w:proofErr w:type="spellStart"/>
      <w:r>
        <w:rPr>
          <w:sz w:val="28"/>
        </w:rPr>
        <w:t>избежания</w:t>
      </w:r>
      <w:proofErr w:type="spellEnd"/>
      <w:r>
        <w:rPr>
          <w:sz w:val="28"/>
        </w:rPr>
        <w:t xml:space="preserve"> неоднозначного толкования, а также наименования цены российской нефти приводится в соответствие с изменениями законодательства Российской Федерации о налогах и сборах;</w:t>
      </w:r>
    </w:p>
    <w:p w:rsidR="00B126B9" w:rsidRDefault="00B50589">
      <w:pPr>
        <w:widowControl w:val="0"/>
        <w:spacing w:line="276" w:lineRule="auto"/>
        <w:ind w:firstLine="709"/>
        <w:jc w:val="both"/>
        <w:rPr>
          <w:sz w:val="28"/>
        </w:rPr>
      </w:pPr>
      <w:proofErr w:type="gramStart"/>
      <w:r>
        <w:rPr>
          <w:sz w:val="28"/>
        </w:rPr>
        <w:t>3) в целях сохранения стабильности правового регулирования при исчислении НДПИ при добыче газа горючего природного порядок расчета показателей К</w:t>
      </w:r>
      <w:r>
        <w:rPr>
          <w:sz w:val="28"/>
          <w:vertAlign w:val="subscript"/>
        </w:rPr>
        <w:t xml:space="preserve">КГ2023 </w:t>
      </w:r>
      <w:r>
        <w:rPr>
          <w:sz w:val="28"/>
        </w:rPr>
        <w:t>и К</w:t>
      </w:r>
      <w:r>
        <w:rPr>
          <w:sz w:val="28"/>
          <w:vertAlign w:val="subscript"/>
        </w:rPr>
        <w:t>КГ2024</w:t>
      </w:r>
      <w:r>
        <w:rPr>
          <w:sz w:val="28"/>
        </w:rPr>
        <w:t xml:space="preserve"> предлагается дополнить определением понятия «газ» в связи с прекращением действия с 1 сентября 2025 года Правил поставки газа в Российской Федерации, утвержденных постановлением Правительства Российской Федерации от 05.02.1998 № 162, содержащих нормативное определение указанного понятия;</w:t>
      </w:r>
      <w:proofErr w:type="gramEnd"/>
    </w:p>
    <w:p w:rsidR="00B126B9" w:rsidRDefault="00B50589">
      <w:pPr>
        <w:widowControl w:val="0"/>
        <w:spacing w:line="276" w:lineRule="auto"/>
        <w:ind w:firstLine="709"/>
        <w:jc w:val="both"/>
        <w:rPr>
          <w:sz w:val="28"/>
        </w:rPr>
      </w:pPr>
      <w:r>
        <w:rPr>
          <w:sz w:val="28"/>
        </w:rPr>
        <w:t xml:space="preserve">4) для обеспечения стабильности и предсказуемости ведения </w:t>
      </w:r>
      <w:r>
        <w:rPr>
          <w:sz w:val="28"/>
        </w:rPr>
        <w:lastRenderedPageBreak/>
        <w:t>хозяйственной деятельности, законопроектом устанавливаются на 2028 год условные значения средних оптовых цен реализации автомобильного бензина и дизельного топлива.</w:t>
      </w:r>
    </w:p>
    <w:p w:rsidR="00B126B9" w:rsidRDefault="00B50589">
      <w:pPr>
        <w:widowControl w:val="0"/>
        <w:spacing w:line="276" w:lineRule="auto"/>
        <w:ind w:firstLine="709"/>
        <w:jc w:val="both"/>
        <w:rPr>
          <w:sz w:val="28"/>
        </w:rPr>
      </w:pPr>
      <w:r>
        <w:rPr>
          <w:b/>
          <w:sz w:val="28"/>
        </w:rPr>
        <w:t>9.</w:t>
      </w:r>
      <w:r>
        <w:rPr>
          <w:sz w:val="28"/>
        </w:rPr>
        <w:t xml:space="preserve"> Законопроектом предложено существенное изменение порядка </w:t>
      </w:r>
      <w:r>
        <w:rPr>
          <w:b/>
          <w:sz w:val="28"/>
        </w:rPr>
        <w:t>налогообложения игорного бизнеса</w:t>
      </w:r>
      <w:r>
        <w:rPr>
          <w:sz w:val="28"/>
        </w:rPr>
        <w:t>, который из состава региональных налогов предлагается перенести в состав федеральных налогов.</w:t>
      </w:r>
    </w:p>
    <w:p w:rsidR="00B126B9" w:rsidRDefault="00B50589">
      <w:pPr>
        <w:widowControl w:val="0"/>
        <w:spacing w:line="276" w:lineRule="auto"/>
        <w:ind w:firstLine="709"/>
        <w:jc w:val="both"/>
        <w:rPr>
          <w:sz w:val="28"/>
        </w:rPr>
      </w:pPr>
      <w:r>
        <w:rPr>
          <w:sz w:val="28"/>
        </w:rPr>
        <w:t>Предлагается значительное повышение ставок налога на игорный бизнес - как фиксированных ставок на отдельные игровые объекты, так и переход к налогообложению выручки от принятых ставок на уровне 5 процентов.</w:t>
      </w:r>
    </w:p>
    <w:p w:rsidR="00B126B9" w:rsidRDefault="00B50589">
      <w:pPr>
        <w:widowControl w:val="0"/>
        <w:spacing w:line="276" w:lineRule="auto"/>
        <w:ind w:firstLine="709"/>
        <w:jc w:val="both"/>
        <w:rPr>
          <w:sz w:val="28"/>
        </w:rPr>
      </w:pPr>
      <w:proofErr w:type="gramStart"/>
      <w:r>
        <w:rPr>
          <w:sz w:val="28"/>
        </w:rPr>
        <w:t>Вместе с тем в связи с ростом налога на игорный бизнес выпадающие доходы по налогу на прибыль не сформируются, поскольку законопроектом предполагается отмена льготы по налогу на прибыль организаций для тотализаторов и букмекеров (доходы от игровой деятельности указанных налогоплательщиков планируется обложить налогом на прибыль организаций, в то время как ранее облагалась прибыль только от неосновной деятельности), поэтому дополнительно в бюджеты</w:t>
      </w:r>
      <w:proofErr w:type="gramEnd"/>
      <w:r>
        <w:rPr>
          <w:sz w:val="28"/>
        </w:rPr>
        <w:t xml:space="preserve"> субъектов Российской Федерации будет поступать налог на прибыль по ставке 17% (в федеральный бюджет - по ставке 8%).</w:t>
      </w:r>
    </w:p>
    <w:p w:rsidR="00B126B9" w:rsidRDefault="00B50589">
      <w:pPr>
        <w:widowControl w:val="0"/>
        <w:spacing w:line="276" w:lineRule="auto"/>
        <w:ind w:firstLine="709"/>
        <w:jc w:val="both"/>
        <w:rPr>
          <w:sz w:val="28"/>
        </w:rPr>
      </w:pPr>
      <w:r>
        <w:rPr>
          <w:sz w:val="28"/>
        </w:rPr>
        <w:t xml:space="preserve">Согласно представленному финансово-экономическому обоснованию поступления </w:t>
      </w:r>
      <w:proofErr w:type="gramStart"/>
      <w:r>
        <w:rPr>
          <w:sz w:val="28"/>
        </w:rPr>
        <w:t>от налога на игорный бизнес в федеральный бюджет за счет повышения ставок налога на игорный бизнес</w:t>
      </w:r>
      <w:proofErr w:type="gramEnd"/>
      <w:r>
        <w:rPr>
          <w:sz w:val="28"/>
        </w:rPr>
        <w:t xml:space="preserve"> составит 74,233 млрд. руб. в 2026 году, 101,917 млрд. руб. в 2027 году и 105,933 млрд. руб. в 2028 году.</w:t>
      </w:r>
    </w:p>
    <w:p w:rsidR="00B126B9" w:rsidRDefault="00B50589">
      <w:pPr>
        <w:widowControl w:val="0"/>
        <w:spacing w:line="276" w:lineRule="auto"/>
        <w:ind w:firstLine="709"/>
        <w:jc w:val="both"/>
        <w:rPr>
          <w:sz w:val="28"/>
        </w:rPr>
      </w:pPr>
      <w:r>
        <w:rPr>
          <w:sz w:val="28"/>
        </w:rPr>
        <w:t xml:space="preserve">При этом в соответствии с пояснительной запиской к законопроекту № 1026189-8 «О внесении изменений в Бюджетный кодекс Российской Федерации и о признании утратившими силу отдельных положений законодательных актов Российской Федерации» в действующей системе налогообложения в бюджеты субъектов Российской Федерации на 2025-2028 </w:t>
      </w:r>
      <w:proofErr w:type="gramStart"/>
      <w:r>
        <w:rPr>
          <w:sz w:val="28"/>
        </w:rPr>
        <w:t>годы</w:t>
      </w:r>
      <w:proofErr w:type="gramEnd"/>
      <w:r>
        <w:rPr>
          <w:sz w:val="28"/>
        </w:rPr>
        <w:t xml:space="preserve"> указанные поступления составили бы порядка 2,5 млрд. руб. в год. </w:t>
      </w:r>
      <w:proofErr w:type="gramStart"/>
      <w:r>
        <w:rPr>
          <w:sz w:val="28"/>
        </w:rPr>
        <w:t xml:space="preserve">При этом дополнительные поступления в федеральный бюджет от налога </w:t>
      </w:r>
      <w:r w:rsidR="009A5079">
        <w:rPr>
          <w:sz w:val="28"/>
        </w:rPr>
        <w:t xml:space="preserve">на </w:t>
      </w:r>
      <w:bookmarkStart w:id="0" w:name="_GoBack"/>
      <w:bookmarkEnd w:id="0"/>
      <w:r>
        <w:rPr>
          <w:sz w:val="28"/>
        </w:rPr>
        <w:t>прибыль организаций за счет</w:t>
      </w:r>
      <w:proofErr w:type="gramEnd"/>
      <w:r>
        <w:rPr>
          <w:sz w:val="28"/>
        </w:rPr>
        <w:t xml:space="preserve"> отмены льготы в виде освобождения от его уплаты для плательщиков налога на игорный бизнес составят 4,219 млрд. рублей. Таким образом, потеря бюджетами субъектов Российской Федерации порядка 2,5 млрд. руб. в год от налога на игорный бизнес будет компенсирована поступлениями в размере около 9 млрд. руб. от налога на прибыль организаций, уплаченного плательщиками налога на игорный бизнес.</w:t>
      </w:r>
    </w:p>
    <w:p w:rsidR="00B126B9" w:rsidRDefault="00B50589">
      <w:pPr>
        <w:widowControl w:val="0"/>
        <w:spacing w:line="276" w:lineRule="auto"/>
        <w:ind w:firstLine="709"/>
        <w:jc w:val="both"/>
        <w:rPr>
          <w:sz w:val="28"/>
        </w:rPr>
      </w:pPr>
      <w:r>
        <w:rPr>
          <w:sz w:val="28"/>
        </w:rPr>
        <w:t xml:space="preserve">При этом Комитет обращает внимание на необходимость дополнительного обсуждения положения проектируемого пункта 4 </w:t>
      </w:r>
      <w:r>
        <w:rPr>
          <w:sz w:val="28"/>
        </w:rPr>
        <w:br/>
      </w:r>
      <w:r>
        <w:rPr>
          <w:sz w:val="28"/>
        </w:rPr>
        <w:lastRenderedPageBreak/>
        <w:t>статьи 333</w:t>
      </w:r>
      <w:r>
        <w:rPr>
          <w:sz w:val="28"/>
          <w:vertAlign w:val="superscript"/>
        </w:rPr>
        <w:t>62</w:t>
      </w:r>
      <w:r>
        <w:rPr>
          <w:sz w:val="28"/>
        </w:rPr>
        <w:t xml:space="preserve"> в части целесообразности применения пониженной ставки налога в отношении новых объектов, зарегистрированных до 15-го числа текущего налогового периода.</w:t>
      </w:r>
    </w:p>
    <w:p w:rsidR="00B126B9" w:rsidRDefault="00B50589">
      <w:pPr>
        <w:widowControl w:val="0"/>
        <w:spacing w:line="276" w:lineRule="auto"/>
        <w:ind w:firstLine="709"/>
        <w:jc w:val="both"/>
        <w:rPr>
          <w:sz w:val="28"/>
        </w:rPr>
      </w:pPr>
      <w:r>
        <w:rPr>
          <w:b/>
          <w:sz w:val="28"/>
        </w:rPr>
        <w:t>10. В рамках специальных налоговых режимов</w:t>
      </w:r>
      <w:r>
        <w:rPr>
          <w:sz w:val="28"/>
        </w:rPr>
        <w:t xml:space="preserve"> - единого сельскохозяйственного налога (далее - ЕСХН), упрощенной системы налогообложения (далее - УСН) и патентной системы налогообложения (далее - ПСН) - законопроект продолжает процесс </w:t>
      </w:r>
      <w:proofErr w:type="spellStart"/>
      <w:r>
        <w:rPr>
          <w:sz w:val="28"/>
        </w:rPr>
        <w:t>донастройки</w:t>
      </w:r>
      <w:proofErr w:type="spellEnd"/>
      <w:r>
        <w:rPr>
          <w:sz w:val="28"/>
        </w:rPr>
        <w:t xml:space="preserve"> системы налогообложения субъектов малого и среднего предпринимательства, направленный на содействие формированию справедливой конкурентной среды и «обелению» экономики. В частности, предусматривается совершенствование механизма поэтапного перехода налогоплательщиков, применяющих УСН, на общий режим налогообложения, расширение комплекса мер по пресечению возможностей ухода от уплаты налогов, в том числе посредством дробления бизнеса.</w:t>
      </w:r>
    </w:p>
    <w:p w:rsidR="00B126B9" w:rsidRDefault="00B50589">
      <w:pPr>
        <w:widowControl w:val="0"/>
        <w:spacing w:line="276" w:lineRule="auto"/>
        <w:ind w:firstLine="709"/>
        <w:jc w:val="both"/>
        <w:rPr>
          <w:sz w:val="28"/>
        </w:rPr>
      </w:pPr>
      <w:r>
        <w:rPr>
          <w:sz w:val="28"/>
        </w:rPr>
        <w:t>В целях снижения нагрузки на налогоплательщиков уточняются переходные положения в части учета в составе расходов налога на прибыль организаций стоимости товаров, приобретенных и оплаченных не ранее чем за 3 года, предшествующих году перехода с ЕСХН или УСН, но реализованных после перехода на общую систему налогообложения.</w:t>
      </w:r>
    </w:p>
    <w:p w:rsidR="00B126B9" w:rsidRDefault="00B50589">
      <w:pPr>
        <w:widowControl w:val="0"/>
        <w:spacing w:line="276" w:lineRule="auto"/>
        <w:ind w:firstLine="709"/>
        <w:jc w:val="both"/>
        <w:rPr>
          <w:sz w:val="28"/>
        </w:rPr>
      </w:pPr>
      <w:r>
        <w:rPr>
          <w:sz w:val="28"/>
        </w:rPr>
        <w:t>В целях устранения правовой неопределенности уточняются положения о составе расходов в целях уменьшения полученных доходов при определении объекта налогообложения по УСН, а также положения о возможности применения УСН адвокатами в случае осуществления иных видов деятельности, не связанных с адвокатской деятельностью.</w:t>
      </w:r>
    </w:p>
    <w:p w:rsidR="00B126B9" w:rsidRDefault="00B50589">
      <w:pPr>
        <w:widowControl w:val="0"/>
        <w:spacing w:line="276" w:lineRule="auto"/>
        <w:ind w:firstLine="709"/>
        <w:jc w:val="both"/>
        <w:rPr>
          <w:sz w:val="28"/>
        </w:rPr>
      </w:pPr>
      <w:r>
        <w:rPr>
          <w:sz w:val="28"/>
        </w:rPr>
        <w:t>В рамках работы по увеличению эффективности налоговых расходов, а также в целях пресечения не обусловленной естественными причинами «миграции» бизнеса законопроектом предлагается пересмотреть порядок установления законами субъектов Российской Федерации льготных налоговых ставок по УСН. Если такие ставки налога ранее устанавливались субъектами Российской Федерации в зависимости от категории налогоплательщиков, то теперь предлагается устанавливать их на основании перечня отдельных видов экономической деятельности, утверждаемом Правительством Российской Федерации, при соответствии налогоплательщиков критериям, установленным Правительством Российской Федерации.</w:t>
      </w:r>
    </w:p>
    <w:p w:rsidR="00B126B9" w:rsidRDefault="00B50589">
      <w:pPr>
        <w:widowControl w:val="0"/>
        <w:spacing w:line="276" w:lineRule="auto"/>
        <w:ind w:firstLine="709"/>
        <w:jc w:val="both"/>
        <w:rPr>
          <w:sz w:val="28"/>
        </w:rPr>
      </w:pPr>
      <w:r>
        <w:rPr>
          <w:sz w:val="28"/>
        </w:rPr>
        <w:t xml:space="preserve">Одновременно в рамках налогообложения ПСН законопроектом предусмотрено существенное снижение предельного значения величины суммы доходов в целях применения патентной системы налогообложения с действующего значения в 60 млн. руб. до 10 млн. рублей. Как отмечено в </w:t>
      </w:r>
      <w:r>
        <w:rPr>
          <w:sz w:val="28"/>
        </w:rPr>
        <w:lastRenderedPageBreak/>
        <w:t>ОНБНТТП на 2026 год и на плановый период 2027 и 2028 годов, данная мера направлена на предупреждение использования схем дробления бизнеса для уклонения от уплаты налогов. При этом</w:t>
      </w:r>
      <w:proofErr w:type="gramStart"/>
      <w:r>
        <w:rPr>
          <w:sz w:val="28"/>
        </w:rPr>
        <w:t>,</w:t>
      </w:r>
      <w:proofErr w:type="gramEnd"/>
      <w:r>
        <w:rPr>
          <w:sz w:val="28"/>
        </w:rPr>
        <w:t xml:space="preserve"> согласно сведениям Федеральной налоговой службы, указанное снижение предельного значения величины суммы доходов в целях применения патентной системы налогообложения не коснется 93,4 процентов налогоплательщиков, применяющих данным налоговый режим.</w:t>
      </w:r>
    </w:p>
    <w:p w:rsidR="00B126B9" w:rsidRDefault="00B50589">
      <w:pPr>
        <w:widowControl w:val="0"/>
        <w:spacing w:line="276" w:lineRule="auto"/>
        <w:ind w:firstLine="709"/>
        <w:jc w:val="both"/>
        <w:rPr>
          <w:sz w:val="28"/>
        </w:rPr>
      </w:pPr>
      <w:r>
        <w:rPr>
          <w:sz w:val="28"/>
        </w:rPr>
        <w:t>Кроме того, в целях обеспечения конкурентных условий бизнеса</w:t>
      </w:r>
      <w:r>
        <w:rPr>
          <w:i/>
          <w:sz w:val="28"/>
        </w:rPr>
        <w:t xml:space="preserve"> </w:t>
      </w:r>
      <w:r>
        <w:rPr>
          <w:sz w:val="28"/>
        </w:rPr>
        <w:t>предусматривается исключение из перечня видов предпринимательской деятельности, в отношении которых применяется патентная система налогообложения, торговой деятельности в стационарных торговых объектах и оказания автотранспортных услуг по перевозке грузов автомобильным транспортом. Вместе с тем необходимо отметить, что данные изменения требуют внесения корреспондирующих изменений в подпункт 11 пункта 8 статьи 346</w:t>
      </w:r>
      <w:r>
        <w:rPr>
          <w:sz w:val="28"/>
          <w:vertAlign w:val="superscript"/>
        </w:rPr>
        <w:t>43</w:t>
      </w:r>
      <w:r>
        <w:rPr>
          <w:sz w:val="28"/>
        </w:rPr>
        <w:t xml:space="preserve"> и подпункт 9 пункта 1 статьи 427 Налогового кодекса.</w:t>
      </w:r>
    </w:p>
    <w:p w:rsidR="00B126B9" w:rsidRDefault="00B50589">
      <w:pPr>
        <w:widowControl w:val="0"/>
        <w:spacing w:line="276" w:lineRule="auto"/>
        <w:ind w:firstLine="709"/>
        <w:jc w:val="both"/>
        <w:rPr>
          <w:i/>
          <w:sz w:val="28"/>
        </w:rPr>
      </w:pPr>
      <w:r>
        <w:rPr>
          <w:sz w:val="28"/>
        </w:rPr>
        <w:t>Комитет особо отмечает, что условия налогообложения, предусмотренные специальным налоговым режимом «Налог на профессиональный доход», остаются неизменными.</w:t>
      </w:r>
    </w:p>
    <w:p w:rsidR="00B126B9" w:rsidRDefault="00B50589">
      <w:pPr>
        <w:widowControl w:val="0"/>
        <w:spacing w:line="276" w:lineRule="auto"/>
        <w:ind w:firstLine="709"/>
        <w:jc w:val="both"/>
        <w:rPr>
          <w:sz w:val="28"/>
        </w:rPr>
      </w:pPr>
      <w:r>
        <w:rPr>
          <w:b/>
          <w:sz w:val="28"/>
        </w:rPr>
        <w:t>11. В части имущественного налогообложения</w:t>
      </w:r>
      <w:r>
        <w:rPr>
          <w:sz w:val="28"/>
        </w:rPr>
        <w:t xml:space="preserve"> законопроектом предлагается как ряд корреспондирующих системных мер совершенствования имущественного налогообложения, так и точечные меры в части отдельных налогов:</w:t>
      </w:r>
    </w:p>
    <w:p w:rsidR="00B126B9" w:rsidRDefault="00B50589">
      <w:pPr>
        <w:widowControl w:val="0"/>
        <w:spacing w:line="276" w:lineRule="auto"/>
        <w:ind w:firstLine="709"/>
        <w:jc w:val="both"/>
        <w:rPr>
          <w:sz w:val="28"/>
        </w:rPr>
      </w:pPr>
      <w:proofErr w:type="gramStart"/>
      <w:r>
        <w:rPr>
          <w:sz w:val="28"/>
        </w:rPr>
        <w:t>1) в части налогообложения физических лиц, законопроектом устанавливаются льготы по транспортному и земельному налогам для ветеранов боевых действий, участников специальной военной операции и членов их семей, с учетом специфики и порядка предоставления льгот по каждому налогу, а также расширение условий предоставления налогового вычета многодетным родителям по земельному налогу и налогу на имущество физических лиц.</w:t>
      </w:r>
      <w:proofErr w:type="gramEnd"/>
      <w:r>
        <w:rPr>
          <w:sz w:val="28"/>
        </w:rPr>
        <w:t xml:space="preserve"> В части налога на имущество физических лиц расширяется перечень льготных категорий налогоплательщиков военнослужащими различных категорий. Кроме того, в целях применения указанных льгот по имущественным налогам устраняется неопределенность с периодом участия в специальной военной операции, так, периодом участия в специальной военной операции признается налоговый период, в течение которого лицо было привлечено к участию в специальной военной операции независимо от срока такого участия.</w:t>
      </w:r>
    </w:p>
    <w:p w:rsidR="00B126B9" w:rsidRDefault="00B50589">
      <w:pPr>
        <w:widowControl w:val="0"/>
        <w:spacing w:line="276" w:lineRule="auto"/>
        <w:ind w:firstLine="709"/>
        <w:jc w:val="both"/>
        <w:rPr>
          <w:sz w:val="28"/>
        </w:rPr>
      </w:pPr>
      <w:r>
        <w:rPr>
          <w:sz w:val="28"/>
        </w:rPr>
        <w:t>При этом Комитет полагает необходимым рассмотреть вопрос об унификации льготных категорий лиц - участников специальной военной операции и членов их семей в различных главах Налогового кодекса;</w:t>
      </w:r>
    </w:p>
    <w:p w:rsidR="00B126B9" w:rsidRDefault="00B50589">
      <w:pPr>
        <w:widowControl w:val="0"/>
        <w:spacing w:line="276" w:lineRule="auto"/>
        <w:ind w:firstLine="709"/>
        <w:jc w:val="both"/>
        <w:rPr>
          <w:sz w:val="28"/>
        </w:rPr>
      </w:pPr>
      <w:r>
        <w:rPr>
          <w:sz w:val="28"/>
        </w:rPr>
        <w:lastRenderedPageBreak/>
        <w:t xml:space="preserve">2) законопроектом уточняется порядок определения налоговой базы в отношении объекта незавершенного строительства, находящегося в общей собственности, в случае, если его проектируемым назначением является многоквартирный дом. Данное изменение направлено на урегулирование проблемных вопросов исчисления налога на имущество физических лиц в отношении незавершенных строительством многоквартирных домов, когда собственники регистрируют право собственности не на квартиру, а на долю в объекте незавершенного строительства, что влечет исчисление налога исходя из кадастровой стоимости всего объекта незавершенного строительства с применением повышенной ставки. </w:t>
      </w:r>
      <w:proofErr w:type="gramStart"/>
      <w:r>
        <w:rPr>
          <w:sz w:val="28"/>
        </w:rPr>
        <w:t>Изменения предусматривают, что налоговая база по налогу на имущество физических лиц в отношении объекта незавершенного строительства, проектируемым назначением которых является многоквартирный дом, определяется не как кадастровая стоимость всего объекта незавершенного строительства, а только как доля кадастровой стоимости, пропорциональная площади помещений, исходя из которой определена доля налогоплательщика в праве общей долевой собственности на такой объект незавершенного строительства (т.е. кадастровая стоимость</w:t>
      </w:r>
      <w:proofErr w:type="gramEnd"/>
      <w:r>
        <w:rPr>
          <w:sz w:val="28"/>
        </w:rPr>
        <w:t xml:space="preserve"> без учета стоимости нежилых помещений и общего имущества дома);</w:t>
      </w:r>
    </w:p>
    <w:p w:rsidR="00B126B9" w:rsidRDefault="00B50589">
      <w:pPr>
        <w:widowControl w:val="0"/>
        <w:spacing w:line="276" w:lineRule="auto"/>
        <w:ind w:firstLine="709"/>
        <w:jc w:val="both"/>
        <w:rPr>
          <w:sz w:val="28"/>
        </w:rPr>
      </w:pPr>
      <w:proofErr w:type="gramStart"/>
      <w:r>
        <w:rPr>
          <w:sz w:val="28"/>
        </w:rPr>
        <w:t>3) учитывая развитие системы межведомственного обмена информацией, а также меры по ее совершенствованию, заложенные в рассматриваемом законопроекте, предусматривается оптимизация количества направляемых плательщиками уведомлений об исчисленных суммах налогов, авансовых платежей за счет отмены их представления по имущественным налогам и переход на исчисление транспортного, земельного и налога на имущество организаций, подлежащих уплате налогоплательщиками-организациями, налоговыми органами и их уплату на основании сообщения налогового</w:t>
      </w:r>
      <w:proofErr w:type="gramEnd"/>
      <w:r>
        <w:rPr>
          <w:sz w:val="28"/>
        </w:rPr>
        <w:t xml:space="preserve"> органа об исчисленных суммах налога, по аналогии с порядком исчисления сумм налогов для физических лиц. При этом такой порядок исчисления сумм налогов по земельному налогу и налогу на имущество организаций происходит в отношении объектов налогообложения, налоговая база которых исчисляется исходя из кадастровой стоимости таких объектов налогообложения. Соответствующим образом меняются иные взаимосвязанные нормы Налогового кодекса, касающиеся порядка перерасчета сумм налога, их учета, подачи налогоплательщиком заявлений, </w:t>
      </w:r>
      <w:proofErr w:type="gramStart"/>
      <w:r>
        <w:rPr>
          <w:sz w:val="28"/>
        </w:rPr>
        <w:t>утоняется</w:t>
      </w:r>
      <w:proofErr w:type="gramEnd"/>
      <w:r>
        <w:rPr>
          <w:sz w:val="28"/>
        </w:rPr>
        <w:t xml:space="preserve"> обязанность налогоплательщиков по направлению в налоговый орган информации о наличии объектов налогообложения в случае неполучения таких сообщений от налогового органа, также меняется срок представления такой информации;</w:t>
      </w:r>
    </w:p>
    <w:p w:rsidR="00B126B9" w:rsidRDefault="00B50589">
      <w:pPr>
        <w:widowControl w:val="0"/>
        <w:spacing w:line="276" w:lineRule="auto"/>
        <w:ind w:firstLine="709"/>
        <w:jc w:val="both"/>
        <w:rPr>
          <w:sz w:val="28"/>
        </w:rPr>
      </w:pPr>
      <w:r>
        <w:rPr>
          <w:sz w:val="28"/>
        </w:rPr>
        <w:t xml:space="preserve">4) уточняется порядок освобождения от налогообложения </w:t>
      </w:r>
      <w:r>
        <w:rPr>
          <w:sz w:val="28"/>
        </w:rPr>
        <w:lastRenderedPageBreak/>
        <w:t>транспортным налогом транспортных средств, зарегистрированных на сельскохозяйственных товаропроизводителей. От уплаты налога на имущество организаций предлагается освободить организации в отношении имущества, предоставленного в безвозмездное пользование для размещения участков исправительных центров уголовно-исполнительной системы;</w:t>
      </w:r>
    </w:p>
    <w:p w:rsidR="00B126B9" w:rsidRDefault="00B50589">
      <w:pPr>
        <w:widowControl w:val="0"/>
        <w:spacing w:line="276" w:lineRule="auto"/>
        <w:ind w:firstLine="709"/>
        <w:jc w:val="both"/>
        <w:rPr>
          <w:sz w:val="28"/>
        </w:rPr>
      </w:pPr>
      <w:r>
        <w:rPr>
          <w:sz w:val="28"/>
        </w:rPr>
        <w:t>5) в целях устранения неоднозначного толкования в связи со сложившейся неоднозначной правоприменительной практикой в определении объектов бытового обслуживания, в рамках налога на имущество организаций уточняется определение понятия объекта бытового обслуживания как объекта недвижимости, используемого для оказания бытовых услуг физическим лицам и (или) организациям по перечню кодов ОКВЭД и ОКПД.</w:t>
      </w:r>
    </w:p>
    <w:p w:rsidR="00B126B9" w:rsidRDefault="00B50589">
      <w:pPr>
        <w:widowControl w:val="0"/>
        <w:spacing w:line="276" w:lineRule="auto"/>
        <w:ind w:firstLine="709"/>
        <w:jc w:val="both"/>
        <w:rPr>
          <w:sz w:val="28"/>
        </w:rPr>
      </w:pPr>
      <w:r>
        <w:rPr>
          <w:b/>
          <w:sz w:val="28"/>
        </w:rPr>
        <w:t>12. В части туристического налога</w:t>
      </w:r>
      <w:r>
        <w:rPr>
          <w:sz w:val="28"/>
        </w:rPr>
        <w:t xml:space="preserve"> продолжается работа по его </w:t>
      </w:r>
      <w:proofErr w:type="spellStart"/>
      <w:r>
        <w:rPr>
          <w:sz w:val="28"/>
        </w:rPr>
        <w:t>донастройке</w:t>
      </w:r>
      <w:proofErr w:type="spellEnd"/>
      <w:r>
        <w:rPr>
          <w:sz w:val="28"/>
        </w:rPr>
        <w:t xml:space="preserve"> исходя из сложившейся практики применения нового налога:</w:t>
      </w:r>
    </w:p>
    <w:p w:rsidR="00B126B9" w:rsidRDefault="00B50589">
      <w:pPr>
        <w:widowControl w:val="0"/>
        <w:spacing w:line="276" w:lineRule="auto"/>
        <w:ind w:firstLine="709"/>
        <w:jc w:val="both"/>
        <w:rPr>
          <w:sz w:val="28"/>
        </w:rPr>
      </w:pPr>
      <w:r>
        <w:rPr>
          <w:sz w:val="28"/>
        </w:rPr>
        <w:t>1) предлагается расширить полномочия представительных органов муниципальных образований по дифференциации налоговых ставок - в зависимости от сезонности и типа средства размещения;</w:t>
      </w:r>
    </w:p>
    <w:p w:rsidR="00B126B9" w:rsidRDefault="00B50589">
      <w:pPr>
        <w:widowControl w:val="0"/>
        <w:spacing w:line="276" w:lineRule="auto"/>
        <w:ind w:firstLine="709"/>
        <w:jc w:val="both"/>
        <w:rPr>
          <w:sz w:val="28"/>
        </w:rPr>
      </w:pPr>
      <w:r>
        <w:rPr>
          <w:sz w:val="28"/>
        </w:rPr>
        <w:t>2) уточняется порядок исчисления туристического налога в отношении услуг по временному проживанию в составе услуг по санаторно-курортному лечению на основании путевок и одновременно предлагается установить льготу, освободив от уплаты налога организации, осуществляющие санаторно-курортное лечение и организованный отдых за счет бюджетных ассигнований.</w:t>
      </w:r>
    </w:p>
    <w:p w:rsidR="00B126B9" w:rsidRDefault="00B50589">
      <w:pPr>
        <w:widowControl w:val="0"/>
        <w:spacing w:line="276" w:lineRule="auto"/>
        <w:ind w:firstLine="709"/>
        <w:jc w:val="both"/>
        <w:rPr>
          <w:sz w:val="28"/>
        </w:rPr>
      </w:pPr>
      <w:r>
        <w:rPr>
          <w:sz w:val="28"/>
        </w:rPr>
        <w:t>При подготовке законопроекта ко второму чтению Комитет полагает необходимым обсудить целесообразность продления полномочий органов местного самоуправления по выявлению средств размещения.</w:t>
      </w:r>
    </w:p>
    <w:p w:rsidR="00B126B9" w:rsidRDefault="00B50589">
      <w:pPr>
        <w:widowControl w:val="0"/>
        <w:spacing w:line="276" w:lineRule="auto"/>
        <w:ind w:firstLine="709"/>
        <w:jc w:val="both"/>
        <w:rPr>
          <w:sz w:val="28"/>
        </w:rPr>
      </w:pPr>
      <w:r>
        <w:rPr>
          <w:b/>
          <w:sz w:val="28"/>
        </w:rPr>
        <w:t xml:space="preserve">13. В части страховых взносов </w:t>
      </w:r>
      <w:r>
        <w:rPr>
          <w:sz w:val="28"/>
        </w:rPr>
        <w:t xml:space="preserve">в рамках работы по увеличению эффективности налоговых расходов законопроектом предлагается пересмотр единых пониженных тарифов, введенных в период пандемии </w:t>
      </w:r>
      <w:proofErr w:type="spellStart"/>
      <w:r>
        <w:rPr>
          <w:sz w:val="28"/>
        </w:rPr>
        <w:t>коронавирусной</w:t>
      </w:r>
      <w:proofErr w:type="spellEnd"/>
      <w:r>
        <w:rPr>
          <w:sz w:val="28"/>
        </w:rPr>
        <w:t xml:space="preserve"> инфекции COVID-19 для поддержки занятости и снижения нагрузки на бизнес. Действие указанных льготных тарифов неоднократно продлевалось, хотя и имело временный характер их действия до восстановления экономической активности субъектов МСП. </w:t>
      </w:r>
      <w:proofErr w:type="gramStart"/>
      <w:r>
        <w:rPr>
          <w:sz w:val="28"/>
        </w:rPr>
        <w:t>Как отмечено в ОНБНТП на 2026 год и на плановый период 2027 и 2028 годов, действие применяемой с 2021 года субъектами МСП льготы в отношении части выплат и иных вознаграждений в пользу физических лиц, превышающей МРОТ (с 2025 года полуторакратный МРОТ) не оказало существенного влияния на численность занятых и динамику заработной платы в сфере МСП.</w:t>
      </w:r>
      <w:proofErr w:type="gramEnd"/>
      <w:r>
        <w:rPr>
          <w:sz w:val="28"/>
        </w:rPr>
        <w:t xml:space="preserve"> По итогам 2024 года получателями льготы, связанной с едиными </w:t>
      </w:r>
      <w:r>
        <w:rPr>
          <w:sz w:val="28"/>
        </w:rPr>
        <w:lastRenderedPageBreak/>
        <w:t>пониженными тарифами страховых взносов, является менее 1/5 субъектов МСП, в том числе по причине отсутствия у многих субъектов МСП (индивидуальные предприниматели) наемных работников. Действие льготы не оказало влияние на численность занятых в сфере МСП, то есть высвобожденные средства от фонда оплаты труда не были направлены субъектами МСП на расширение штата сотрудников, на увеличение темпа роста заработной платы и на повышение эффективности операционной деятельности, что свидетельствует о недостаточной заинтересованности в расширении бизнеса. При этом указанные преференции предоставлялись всем субъектам МСП без привязки к приоритетным видам деятельности, что снижало стимулирующую роль данного налогового расхода.</w:t>
      </w:r>
    </w:p>
    <w:p w:rsidR="00B126B9" w:rsidRDefault="00B50589">
      <w:pPr>
        <w:widowControl w:val="0"/>
        <w:spacing w:line="276" w:lineRule="auto"/>
        <w:ind w:firstLine="709"/>
        <w:jc w:val="both"/>
        <w:rPr>
          <w:sz w:val="28"/>
        </w:rPr>
      </w:pPr>
      <w:r>
        <w:rPr>
          <w:sz w:val="28"/>
        </w:rPr>
        <w:t xml:space="preserve">В этой связи законопроектом предлагается изменить подход к предоставлению преференций по страховым взносам для усиления их стимулирующей роли вместо снижения налоговой нагрузки. </w:t>
      </w:r>
      <w:proofErr w:type="gramStart"/>
      <w:r>
        <w:rPr>
          <w:sz w:val="28"/>
        </w:rPr>
        <w:t xml:space="preserve">Так, предлагается предусмотреть отраслевую </w:t>
      </w:r>
      <w:proofErr w:type="spellStart"/>
      <w:r>
        <w:rPr>
          <w:sz w:val="28"/>
        </w:rPr>
        <w:t>приоритизацию</w:t>
      </w:r>
      <w:proofErr w:type="spellEnd"/>
      <w:r>
        <w:rPr>
          <w:sz w:val="28"/>
        </w:rPr>
        <w:t xml:space="preserve"> льгот по страховым взносам для отраслей, обеспечивающих технологическое развитие и высокую производительность труда, что должно повлечь за собой повышение эффективности рынка труда, а также укрепление доходной базы систем пенсионного, социального и медицинского страхования, повышение финансовой самостоятельности государственных внебюджетных фондов.</w:t>
      </w:r>
      <w:proofErr w:type="gramEnd"/>
    </w:p>
    <w:p w:rsidR="00B126B9" w:rsidRDefault="00B50589">
      <w:pPr>
        <w:widowControl w:val="0"/>
        <w:spacing w:line="276" w:lineRule="auto"/>
        <w:ind w:firstLine="709"/>
        <w:jc w:val="both"/>
        <w:rPr>
          <w:sz w:val="28"/>
        </w:rPr>
      </w:pPr>
      <w:r>
        <w:rPr>
          <w:sz w:val="28"/>
        </w:rPr>
        <w:t>В части отдельных мер необходимо отметить следующие:</w:t>
      </w:r>
    </w:p>
    <w:p w:rsidR="00B126B9" w:rsidRDefault="00B50589">
      <w:pPr>
        <w:widowControl w:val="0"/>
        <w:spacing w:line="276" w:lineRule="auto"/>
        <w:ind w:firstLine="709"/>
        <w:jc w:val="both"/>
        <w:rPr>
          <w:sz w:val="28"/>
        </w:rPr>
      </w:pPr>
      <w:r>
        <w:rPr>
          <w:sz w:val="28"/>
        </w:rPr>
        <w:t xml:space="preserve">1) повышение льготного тарифа страховых взносов для IT-организаций в пределах </w:t>
      </w:r>
      <w:proofErr w:type="spellStart"/>
      <w:r>
        <w:rPr>
          <w:sz w:val="28"/>
        </w:rPr>
        <w:t>взносооблагаемой</w:t>
      </w:r>
      <w:proofErr w:type="spellEnd"/>
      <w:r>
        <w:rPr>
          <w:sz w:val="28"/>
        </w:rPr>
        <w:t xml:space="preserve"> базы с 7,6 процента до 15 процентов (при сохранении текущего льготного тарифа сверх предельной </w:t>
      </w:r>
      <w:proofErr w:type="spellStart"/>
      <w:r>
        <w:rPr>
          <w:sz w:val="28"/>
        </w:rPr>
        <w:t>взносооблагаемой</w:t>
      </w:r>
      <w:proofErr w:type="spellEnd"/>
      <w:r>
        <w:rPr>
          <w:sz w:val="28"/>
        </w:rPr>
        <w:t xml:space="preserve"> базы - 7,6 процента);</w:t>
      </w:r>
    </w:p>
    <w:p w:rsidR="00B126B9" w:rsidRDefault="00B50589">
      <w:pPr>
        <w:widowControl w:val="0"/>
        <w:spacing w:line="276" w:lineRule="auto"/>
        <w:ind w:firstLine="709"/>
        <w:jc w:val="both"/>
        <w:rPr>
          <w:sz w:val="28"/>
        </w:rPr>
      </w:pPr>
      <w:r>
        <w:rPr>
          <w:sz w:val="28"/>
        </w:rPr>
        <w:t>2) снижение до 0 процентов единого пониженного тарифа страховых взносов с выплат работникам сверх единой предельной величины базы для организаций радиоэлектронной промышленности;</w:t>
      </w:r>
    </w:p>
    <w:p w:rsidR="00B126B9" w:rsidRDefault="00B50589">
      <w:pPr>
        <w:widowControl w:val="0"/>
        <w:spacing w:line="276" w:lineRule="auto"/>
        <w:ind w:firstLine="709"/>
        <w:jc w:val="both"/>
        <w:rPr>
          <w:sz w:val="28"/>
        </w:rPr>
      </w:pPr>
      <w:r>
        <w:rPr>
          <w:sz w:val="28"/>
        </w:rPr>
        <w:t>3) освобождение от обложения страховыми взносами выплат работнику, проходящему военную службу по контракту, заключенному для участия в специальной военной операции, независимо от срока действия такого контракта;</w:t>
      </w:r>
    </w:p>
    <w:p w:rsidR="00B126B9" w:rsidRDefault="00B50589">
      <w:pPr>
        <w:widowControl w:val="0"/>
        <w:spacing w:line="276" w:lineRule="auto"/>
        <w:ind w:firstLine="709"/>
        <w:jc w:val="both"/>
        <w:rPr>
          <w:sz w:val="28"/>
        </w:rPr>
      </w:pPr>
      <w:r>
        <w:rPr>
          <w:sz w:val="28"/>
        </w:rPr>
        <w:t xml:space="preserve">4) введение обязанности для коммерческих организаций исчислять страховые взносы с выплат и иных вознаграждений в пользу руководителей с доначислением базы исходя </w:t>
      </w:r>
      <w:proofErr w:type="gramStart"/>
      <w:r>
        <w:rPr>
          <w:sz w:val="28"/>
        </w:rPr>
        <w:t>из</w:t>
      </w:r>
      <w:proofErr w:type="gramEnd"/>
      <w:r>
        <w:rPr>
          <w:sz w:val="28"/>
        </w:rPr>
        <w:t xml:space="preserve"> </w:t>
      </w:r>
      <w:proofErr w:type="gramStart"/>
      <w:r>
        <w:rPr>
          <w:sz w:val="28"/>
        </w:rPr>
        <w:t>МРОТ</w:t>
      </w:r>
      <w:proofErr w:type="gramEnd"/>
      <w:r>
        <w:rPr>
          <w:sz w:val="28"/>
        </w:rPr>
        <w:t xml:space="preserve"> в случаях, когда таким работникам выплачивают зарплату ниже данной величины.</w:t>
      </w:r>
    </w:p>
    <w:p w:rsidR="00B126B9" w:rsidRDefault="00B50589">
      <w:pPr>
        <w:widowControl w:val="0"/>
        <w:spacing w:line="276" w:lineRule="auto"/>
        <w:ind w:firstLine="709"/>
        <w:jc w:val="both"/>
        <w:rPr>
          <w:sz w:val="28"/>
        </w:rPr>
      </w:pPr>
      <w:r>
        <w:rPr>
          <w:sz w:val="28"/>
        </w:rPr>
        <w:t xml:space="preserve">Законопроектом также предлагается оптимизация льготных тарифов страховых взносов для МСП - единый пониженный тариф сохраняется для приоритетных отраслей, определяемых по перечню Правительства </w:t>
      </w:r>
      <w:r>
        <w:rPr>
          <w:sz w:val="28"/>
        </w:rPr>
        <w:lastRenderedPageBreak/>
        <w:t>Российской Федерации, для иных будут применяться общие тарифы. При этом Комитет полагает необходимым при подготовке законопроекта ко второму чтению уточнить категории МСП, для которых будет сохраняться единый пониженный тариф с 2026 года, с учетом норм, которые законопроектом не корректируются.</w:t>
      </w:r>
    </w:p>
    <w:p w:rsidR="00B126B9" w:rsidRDefault="00B50589">
      <w:pPr>
        <w:widowControl w:val="0"/>
        <w:spacing w:line="276" w:lineRule="auto"/>
        <w:ind w:firstLine="709"/>
        <w:jc w:val="both"/>
        <w:rPr>
          <w:sz w:val="28"/>
        </w:rPr>
      </w:pPr>
      <w:r>
        <w:rPr>
          <w:sz w:val="28"/>
        </w:rPr>
        <w:t xml:space="preserve">Кроме того, законопроектом определяется порядок уплаты страховых взносов на обязательное пенсионное и медицинское страхование индивидуальными предпринимателями, в том числе применяющими специальный налоговый режим и осуществляющими одновременно иную установленную законодательством Российской Федерации профессиональную деятельность, не являющуюся предпринимательской. </w:t>
      </w:r>
    </w:p>
    <w:p w:rsidR="00B126B9" w:rsidRDefault="00B50589">
      <w:pPr>
        <w:widowControl w:val="0"/>
        <w:spacing w:line="276" w:lineRule="auto"/>
        <w:ind w:firstLine="709"/>
        <w:jc w:val="both"/>
        <w:rPr>
          <w:sz w:val="28"/>
        </w:rPr>
      </w:pPr>
      <w:r>
        <w:rPr>
          <w:sz w:val="28"/>
        </w:rPr>
        <w:t xml:space="preserve">Период времени, предусмотренный для вступления в силу предлагаемых законопроектом мер, по мнению Комитета, может оказаться недостаточным для подготовки и адаптации бизнеса к новым правилам налогообложения. </w:t>
      </w:r>
      <w:proofErr w:type="gramStart"/>
      <w:r>
        <w:rPr>
          <w:sz w:val="28"/>
        </w:rPr>
        <w:t>В связи с этим при подготовке законопроекта ко второму чтению с учетом</w:t>
      </w:r>
      <w:proofErr w:type="gramEnd"/>
      <w:r>
        <w:rPr>
          <w:sz w:val="28"/>
        </w:rPr>
        <w:t xml:space="preserve"> поступивших в Комитет обращений с целью соблюдения баланса интересов государства, общества и бизнеса при финансовом обеспечении приоритетов бюджетной и налоговой политики предлагается рассмотреть возможность:</w:t>
      </w:r>
    </w:p>
    <w:p w:rsidR="00B126B9" w:rsidRDefault="00B50589" w:rsidP="00B50589">
      <w:pPr>
        <w:widowControl w:val="0"/>
        <w:spacing w:line="276" w:lineRule="auto"/>
        <w:ind w:firstLine="709"/>
        <w:jc w:val="both"/>
        <w:rPr>
          <w:sz w:val="28"/>
        </w:rPr>
      </w:pPr>
      <w:r>
        <w:rPr>
          <w:sz w:val="28"/>
        </w:rPr>
        <w:t xml:space="preserve">1) установления </w:t>
      </w:r>
      <w:proofErr w:type="gramStart"/>
      <w:r>
        <w:rPr>
          <w:sz w:val="28"/>
        </w:rPr>
        <w:t>более плавного</w:t>
      </w:r>
      <w:proofErr w:type="gramEnd"/>
      <w:r>
        <w:rPr>
          <w:sz w:val="28"/>
        </w:rPr>
        <w:t xml:space="preserve"> поэтапного перехода реализа</w:t>
      </w:r>
      <w:r w:rsidR="0091504D">
        <w:rPr>
          <w:sz w:val="28"/>
        </w:rPr>
        <w:t>ции проектируемых норм в части:</w:t>
      </w:r>
    </w:p>
    <w:p w:rsidR="00B126B9" w:rsidRDefault="00B50589" w:rsidP="00B50589">
      <w:pPr>
        <w:widowControl w:val="0"/>
        <w:spacing w:line="276" w:lineRule="auto"/>
        <w:ind w:firstLine="709"/>
        <w:jc w:val="both"/>
        <w:rPr>
          <w:sz w:val="28"/>
        </w:rPr>
      </w:pPr>
      <w:r>
        <w:rPr>
          <w:sz w:val="28"/>
        </w:rPr>
        <w:t>- изменения пороговых значений доходов, при которых налогоплательщики, применяющие УСН, становятся плательщиками НДС, а налогоплательщики, применяющие ПСН, теряют право на применение указанного налогового режима;</w:t>
      </w:r>
    </w:p>
    <w:p w:rsidR="00B126B9" w:rsidRDefault="00B50589" w:rsidP="00B50589">
      <w:pPr>
        <w:widowControl w:val="0"/>
        <w:spacing w:line="276" w:lineRule="auto"/>
        <w:ind w:firstLine="709"/>
        <w:jc w:val="both"/>
        <w:rPr>
          <w:sz w:val="28"/>
        </w:rPr>
      </w:pPr>
      <w:proofErr w:type="gramStart"/>
      <w:r>
        <w:rPr>
          <w:sz w:val="28"/>
        </w:rPr>
        <w:t>- предстоящей отмены льготы по НДС в отношении исключительных прав на российские программы для ЭВМ и базы данных, прав на использование таких программ и баз данных, принимая во внимание, что соответствующие договоры (в том числе по предоставленным лицензиям) носят характер «длящихся» и заключены между налогоплательщиками в условиях действующего законодательства о налогах и сборах (то есть, без учета в стоимости указанных исключительных</w:t>
      </w:r>
      <w:proofErr w:type="gramEnd"/>
      <w:r>
        <w:rPr>
          <w:sz w:val="28"/>
        </w:rPr>
        <w:t xml:space="preserve"> прав НДС);</w:t>
      </w:r>
    </w:p>
    <w:p w:rsidR="00B126B9" w:rsidRDefault="00B50589">
      <w:pPr>
        <w:widowControl w:val="0"/>
        <w:spacing w:line="276" w:lineRule="auto"/>
        <w:ind w:firstLine="709"/>
        <w:jc w:val="both"/>
        <w:rPr>
          <w:sz w:val="28"/>
        </w:rPr>
      </w:pPr>
      <w:r>
        <w:rPr>
          <w:sz w:val="28"/>
        </w:rPr>
        <w:t>2) сохранения возможности применения ПСН в отношении розничной стационарной торговли в сельских и труднодоступных населенных пунктах</w:t>
      </w:r>
      <w:r w:rsidR="0091504D">
        <w:rPr>
          <w:sz w:val="28"/>
        </w:rPr>
        <w:t>;</w:t>
      </w:r>
    </w:p>
    <w:p w:rsidR="00B126B9" w:rsidRDefault="00B50589">
      <w:pPr>
        <w:spacing w:line="276" w:lineRule="auto"/>
        <w:ind w:firstLine="709"/>
        <w:jc w:val="both"/>
        <w:rPr>
          <w:rFonts w:ascii="XO Thames" w:hAnsi="XO Thames"/>
          <w:sz w:val="28"/>
        </w:rPr>
      </w:pPr>
      <w:r>
        <w:rPr>
          <w:rFonts w:ascii="XO Thames" w:hAnsi="XO Thames"/>
          <w:sz w:val="28"/>
        </w:rPr>
        <w:t>3)</w:t>
      </w:r>
      <w:r>
        <w:rPr>
          <w:rFonts w:ascii="XO Thames" w:hAnsi="XO Thames" w:hint="eastAsia"/>
          <w:sz w:val="28"/>
        </w:rPr>
        <w:t> </w:t>
      </w:r>
      <w:r>
        <w:rPr>
          <w:rFonts w:ascii="XO Thames" w:hAnsi="XO Thames"/>
          <w:sz w:val="28"/>
        </w:rPr>
        <w:t>сохранения действующих пониженных тарифов страховых взносов для субъектов МСП в отношении социально-значимых сфер деятельности бизнеса (образование, ЖКХ и пр.), оказывающего услуги непосредственно населению;</w:t>
      </w:r>
    </w:p>
    <w:p w:rsidR="00B126B9" w:rsidRDefault="00B50589">
      <w:pPr>
        <w:spacing w:line="276" w:lineRule="auto"/>
        <w:ind w:firstLine="709"/>
        <w:jc w:val="both"/>
        <w:rPr>
          <w:rFonts w:ascii="XO Thames" w:hAnsi="XO Thames"/>
          <w:sz w:val="28"/>
        </w:rPr>
      </w:pPr>
      <w:r>
        <w:rPr>
          <w:rFonts w:ascii="XO Thames" w:hAnsi="XO Thames"/>
          <w:sz w:val="28"/>
        </w:rPr>
        <w:lastRenderedPageBreak/>
        <w:t>4)</w:t>
      </w:r>
      <w:r>
        <w:rPr>
          <w:rFonts w:ascii="XO Thames" w:hAnsi="XO Thames" w:hint="eastAsia"/>
          <w:sz w:val="28"/>
        </w:rPr>
        <w:t> </w:t>
      </w:r>
      <w:r>
        <w:rPr>
          <w:rFonts w:ascii="XO Thames" w:hAnsi="XO Thames"/>
          <w:sz w:val="28"/>
        </w:rPr>
        <w:t>расширения закрытого перечня расходов, учитываемых при применении УСН, с учетом увеличении порогового значения доходов по УСН до 450 млн. руб. и применения налогового режима более крупными компаниями;</w:t>
      </w:r>
    </w:p>
    <w:p w:rsidR="00B126B9" w:rsidRDefault="00B50589">
      <w:pPr>
        <w:spacing w:line="276" w:lineRule="auto"/>
        <w:ind w:firstLine="709"/>
        <w:jc w:val="both"/>
        <w:rPr>
          <w:sz w:val="28"/>
        </w:rPr>
      </w:pPr>
      <w:proofErr w:type="gramStart"/>
      <w:r>
        <w:rPr>
          <w:rFonts w:ascii="XO Thames" w:hAnsi="XO Thames"/>
          <w:sz w:val="28"/>
        </w:rPr>
        <w:t>5)</w:t>
      </w:r>
      <w:r>
        <w:rPr>
          <w:rFonts w:ascii="XO Thames" w:hAnsi="XO Thames" w:hint="eastAsia"/>
          <w:sz w:val="28"/>
        </w:rPr>
        <w:t> </w:t>
      </w:r>
      <w:r>
        <w:rPr>
          <w:sz w:val="28"/>
        </w:rPr>
        <w:t>смягчения нормы пункта 8 статьи 164 Налогового кодекса, запрещающей в настоящее время налогоплательщику, применяющему УСН и налоговые ставки по НДС в размере 5 или 7 процентов, в течение трех лет изменять применяемую ставку (т.е. перейти на общеустановленную с правом применения установленных вычетов по НДС и наоборот).</w:t>
      </w:r>
      <w:proofErr w:type="gramEnd"/>
    </w:p>
    <w:p w:rsidR="00B126B9" w:rsidRDefault="00B50589">
      <w:pPr>
        <w:widowControl w:val="0"/>
        <w:spacing w:line="276" w:lineRule="auto"/>
        <w:ind w:firstLine="709"/>
        <w:jc w:val="both"/>
        <w:rPr>
          <w:sz w:val="28"/>
        </w:rPr>
      </w:pPr>
      <w:proofErr w:type="gramStart"/>
      <w:r>
        <w:rPr>
          <w:rFonts w:ascii="XO Thames" w:hAnsi="XO Thames"/>
          <w:sz w:val="28"/>
        </w:rPr>
        <w:t>Кроме того, с</w:t>
      </w:r>
      <w:r>
        <w:rPr>
          <w:sz w:val="28"/>
        </w:rPr>
        <w:t xml:space="preserve"> учетом позитивного опыта применения в 2025 году моратория на привлечение к ответственности налогоплательщиков, применяющих УСН и впервые ставших плательщиками НДС, которые впервые допустили нарушение исполнения обязанностей налогоплательщика НДС (постановление Правительства Российской Федерации от 23.04.2025 №</w:t>
      </w:r>
      <w:r w:rsidR="0091504D">
        <w:rPr>
          <w:sz w:val="28"/>
        </w:rPr>
        <w:t> </w:t>
      </w:r>
      <w:r>
        <w:rPr>
          <w:sz w:val="28"/>
        </w:rPr>
        <w:t>530), предлагается рассмотреть возможность установления аналогичной меры в отношении налогоплательщиков, применяющих УСН, которые также впервые станут плательщиками НДС в соответствии с новыми критериями.</w:t>
      </w:r>
      <w:proofErr w:type="gramEnd"/>
    </w:p>
    <w:p w:rsidR="00B126B9" w:rsidRDefault="00B50589">
      <w:pPr>
        <w:widowControl w:val="0"/>
        <w:spacing w:line="276" w:lineRule="auto"/>
        <w:ind w:firstLine="709"/>
        <w:jc w:val="both"/>
        <w:rPr>
          <w:sz w:val="28"/>
        </w:rPr>
      </w:pPr>
      <w:proofErr w:type="gramStart"/>
      <w:r>
        <w:rPr>
          <w:sz w:val="28"/>
        </w:rPr>
        <w:t xml:space="preserve">Также при доработке законопроекта ко второму чтению Комитет считает необходимым дополнительно рассмотреть вопрос целесообразности продления срока действия временных норм, установленных законодательством Российской Федерации о налогах и сборах, предусматривающих меры поддержки налогоплательщиков, срок действия которых истекает в 2025 году, а также включения в законопроект предложений бизнеса по совершенствованию законодательства Российской Федерации </w:t>
      </w:r>
      <w:r w:rsidR="0091504D">
        <w:rPr>
          <w:sz w:val="28"/>
        </w:rPr>
        <w:t>о налогах и сборах, в том числе</w:t>
      </w:r>
      <w:r>
        <w:rPr>
          <w:sz w:val="28"/>
        </w:rPr>
        <w:t xml:space="preserve"> с целью устранения</w:t>
      </w:r>
      <w:proofErr w:type="gramEnd"/>
      <w:r>
        <w:rPr>
          <w:sz w:val="28"/>
        </w:rPr>
        <w:t xml:space="preserve"> выявленных проблем в правоприменительной практике.</w:t>
      </w:r>
    </w:p>
    <w:p w:rsidR="00B126B9" w:rsidRDefault="00B50589">
      <w:pPr>
        <w:widowControl w:val="0"/>
        <w:spacing w:line="276" w:lineRule="auto"/>
        <w:ind w:firstLine="709"/>
        <w:jc w:val="both"/>
        <w:rPr>
          <w:sz w:val="28"/>
        </w:rPr>
      </w:pPr>
      <w:r>
        <w:rPr>
          <w:sz w:val="28"/>
        </w:rPr>
        <w:t>К законопроекту имеется ряд замечаний лингвистического и юридико-технического характера.</w:t>
      </w:r>
    </w:p>
    <w:p w:rsidR="00B126B9" w:rsidRDefault="00B50589">
      <w:pPr>
        <w:widowControl w:val="0"/>
        <w:spacing w:line="276" w:lineRule="auto"/>
        <w:ind w:firstLine="709"/>
        <w:jc w:val="both"/>
        <w:rPr>
          <w:sz w:val="28"/>
        </w:rPr>
      </w:pPr>
      <w:r>
        <w:rPr>
          <w:sz w:val="28"/>
        </w:rPr>
        <w:t>Счетная палата Российской Федерации в своем заключении отмечает отсутствие замечаний и предложений к законопроекту. Центральный Банк Российской Федерации концептуально поддерживает принятие рассматриваемого законопроекта в первом чтении. Комитет Совета Федерации по бюджету и финансовым рынкам поддерживает принятие законопроекта в первом чтении.</w:t>
      </w:r>
    </w:p>
    <w:p w:rsidR="00B126B9" w:rsidRDefault="00B50589">
      <w:pPr>
        <w:widowControl w:val="0"/>
        <w:spacing w:line="276" w:lineRule="auto"/>
        <w:ind w:firstLine="709"/>
        <w:jc w:val="both"/>
        <w:rPr>
          <w:sz w:val="28"/>
        </w:rPr>
      </w:pPr>
      <w:proofErr w:type="gramStart"/>
      <w:r>
        <w:rPr>
          <w:sz w:val="28"/>
        </w:rPr>
        <w:t xml:space="preserve">С учетом изложенного Комитет по бюджету и налогам считает, что проект федерального закона № 1026190-8 «О внесении изменений в части первую и вторую Налогового кодекса Российской Федерации и отдельные законодательные акты Российской Федерации» направлен на обеспечение стабильности бюджетной системы, финансовое обеспечение приоритетных </w:t>
      </w:r>
      <w:r>
        <w:rPr>
          <w:sz w:val="28"/>
        </w:rPr>
        <w:lastRenderedPageBreak/>
        <w:t>расходов, в том числе безусловного исполнения социальных обязательств государства, обеспечение обороноспособности и безопасности государства, обеление экономики и создание справедливых</w:t>
      </w:r>
      <w:proofErr w:type="gramEnd"/>
      <w:r>
        <w:rPr>
          <w:sz w:val="28"/>
        </w:rPr>
        <w:t xml:space="preserve"> конкурентных условий ведения хозяйственной деятельности, увеличения эффективности налоговых расходов и выполнение приоритетных задач развития экономики страны, поддерживает его концепцию и рекомендует Государственной Думе принять его в первом чтении.</w:t>
      </w:r>
    </w:p>
    <w:p w:rsidR="00B126B9" w:rsidRDefault="00B126B9">
      <w:pPr>
        <w:widowControl w:val="0"/>
        <w:ind w:firstLine="709"/>
        <w:jc w:val="both"/>
        <w:rPr>
          <w:sz w:val="28"/>
        </w:rPr>
      </w:pPr>
    </w:p>
    <w:p w:rsidR="00B126B9" w:rsidRDefault="00B126B9">
      <w:pPr>
        <w:widowControl w:val="0"/>
        <w:ind w:firstLine="709"/>
        <w:jc w:val="both"/>
        <w:rPr>
          <w:sz w:val="28"/>
        </w:rPr>
      </w:pPr>
    </w:p>
    <w:p w:rsidR="00B126B9" w:rsidRDefault="00B126B9">
      <w:pPr>
        <w:widowControl w:val="0"/>
        <w:ind w:firstLine="709"/>
        <w:jc w:val="both"/>
        <w:rPr>
          <w:sz w:val="28"/>
        </w:rPr>
      </w:pPr>
    </w:p>
    <w:p w:rsidR="00B126B9" w:rsidRDefault="00B126B9">
      <w:pPr>
        <w:widowControl w:val="0"/>
        <w:ind w:firstLine="709"/>
        <w:jc w:val="both"/>
        <w:rPr>
          <w:sz w:val="28"/>
        </w:rPr>
      </w:pPr>
    </w:p>
    <w:p w:rsidR="006C1748" w:rsidRDefault="001108E9">
      <w:pPr>
        <w:jc w:val="both"/>
        <w:rPr>
          <w:sz w:val="28"/>
        </w:rPr>
      </w:pPr>
      <w:r>
        <w:rPr>
          <w:sz w:val="28"/>
        </w:rPr>
        <w:t>П</w:t>
      </w:r>
      <w:r w:rsidR="006C1748">
        <w:rPr>
          <w:sz w:val="28"/>
        </w:rPr>
        <w:t>ервый заместитель</w:t>
      </w:r>
    </w:p>
    <w:p w:rsidR="00B126B9" w:rsidRDefault="006C1748">
      <w:pPr>
        <w:jc w:val="both"/>
        <w:rPr>
          <w:sz w:val="28"/>
        </w:rPr>
      </w:pPr>
      <w:r>
        <w:rPr>
          <w:sz w:val="28"/>
        </w:rPr>
        <w:t>п</w:t>
      </w:r>
      <w:r w:rsidR="00B50589">
        <w:rPr>
          <w:sz w:val="28"/>
        </w:rPr>
        <w:t>редседател</w:t>
      </w:r>
      <w:r>
        <w:rPr>
          <w:sz w:val="28"/>
        </w:rPr>
        <w:t>я</w:t>
      </w:r>
      <w:r w:rsidR="00B50589">
        <w:rPr>
          <w:sz w:val="28"/>
        </w:rPr>
        <w:t xml:space="preserve"> Комитета   </w:t>
      </w:r>
      <w:r w:rsidR="00043E13">
        <w:rPr>
          <w:sz w:val="28"/>
        </w:rPr>
        <w:t xml:space="preserve"> </w:t>
      </w:r>
      <w:r w:rsidR="00B50589">
        <w:rPr>
          <w:sz w:val="28"/>
        </w:rPr>
        <w:t xml:space="preserve">                                   </w:t>
      </w:r>
      <w:r w:rsidR="001108E9">
        <w:rPr>
          <w:sz w:val="28"/>
        </w:rPr>
        <w:t xml:space="preserve">   </w:t>
      </w:r>
      <w:r w:rsidR="00B50589">
        <w:rPr>
          <w:sz w:val="28"/>
        </w:rPr>
        <w:t xml:space="preserve">                        </w:t>
      </w:r>
      <w:proofErr w:type="spellStart"/>
      <w:r>
        <w:rPr>
          <w:sz w:val="28"/>
        </w:rPr>
        <w:t>О.Н.Ануфриева</w:t>
      </w:r>
      <w:proofErr w:type="spellEnd"/>
    </w:p>
    <w:sectPr w:rsidR="00B126B9">
      <w:headerReference w:type="even" r:id="rId8"/>
      <w:headerReference w:type="default" r:id="rId9"/>
      <w:pgSz w:w="11906" w:h="16838"/>
      <w:pgMar w:top="1134" w:right="1134" w:bottom="1134" w:left="1418"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7BD" w:rsidRDefault="008567BD">
      <w:r>
        <w:separator/>
      </w:r>
    </w:p>
  </w:endnote>
  <w:endnote w:type="continuationSeparator" w:id="0">
    <w:p w:rsidR="008567BD" w:rsidRDefault="0085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7BD" w:rsidRDefault="008567BD">
      <w:r>
        <w:separator/>
      </w:r>
    </w:p>
  </w:footnote>
  <w:footnote w:type="continuationSeparator" w:id="0">
    <w:p w:rsidR="008567BD" w:rsidRDefault="008567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6B9" w:rsidRDefault="00B50589">
    <w:pPr>
      <w:pStyle w:val="a8"/>
    </w:pPr>
    <w:r>
      <w:rPr>
        <w:noProof/>
      </w:rPr>
      <mc:AlternateContent>
        <mc:Choice Requires="wps">
          <w:drawing>
            <wp:anchor distT="0" distB="0" distL="0" distR="0" simplePos="0" relativeHeight="251657216" behindDoc="0" locked="0" layoutInCell="1" allowOverlap="1">
              <wp:simplePos x="0" y="0"/>
              <wp:positionH relativeFrom="margin">
                <wp:align>center</wp:align>
              </wp:positionH>
              <wp:positionV relativeFrom="paragraph">
                <wp:posOffset>635</wp:posOffset>
              </wp:positionV>
              <wp:extent cx="0" cy="0"/>
              <wp:effectExtent l="0" t="0" r="0" b="0"/>
              <wp:wrapSquare wrapText="bothSides" distT="0" distB="0" distL="0" distR="0"/>
              <wp:docPr id="2" name="Picture 2"/>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rsidR="00B126B9" w:rsidRDefault="00B126B9">
                          <w:pPr>
                            <w:pStyle w:val="a8"/>
                            <w:rPr>
                              <w:rStyle w:val="a5"/>
                            </w:rPr>
                          </w:pPr>
                        </w:p>
                      </w:txbxContent>
                    </wps:txbx>
                    <wps:bodyPr vert="horz" wrap="square" lIns="0" tIns="0" rIns="0" bIns="0" anchor="t">
                      <a:spAutoFit/>
                    </wps:bodyPr>
                  </wps:wsp>
                </a:graphicData>
              </a:graphic>
            </wp:anchor>
          </w:drawing>
        </mc:Choice>
        <mc:Fallback xmlns:xm="http://schemas.microsoft.com/office/excel/2006/main" xmlns:xdr="http://schemas.openxmlformats.org/drawingml/2006/spreadsheetDrawing" xmlns:x14="http://schemas.microsoft.com/office/spreadsheetml/2009/9/main" xmlns:x12ac="http://schemas.microsoft.com/office/spreadsheetml/2011/1/ac" xmlns:x="urn:schemas-microsoft-com:office:excel" xmlns:w15="http://schemas.microsoft.com/office/word/2012/wordml" xmlns:sl="http://schemas.openxmlformats.org/schemaLibrary/2006/main" xmlns:s="http://schemas.openxmlformats.org/officeDocument/2006/sharedTypes" xmlns:pic="http://schemas.openxmlformats.org/drawingml/2006/picture" xmlns:p="http://schemas.openxmlformats.org/presentationml/2006/main" xmlns:co-ooxml="http://ncloudtech.com/ooxml" xmlns:co="http://ncloudtech.com" xmlns:c="http://schemas.openxmlformats.org/drawingml/2006/chart" xmlns:asvg="http://schemas.microsoft.com/office/drawing/2016/SVG/main" xmlns:a15="http://schemas.microsoft.com/office/drawing/2012/main" xmlns:a="http://schemas.openxmlformats.org/drawingml/2006/main">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6B9" w:rsidRDefault="00B50589">
    <w:pPr>
      <w:pStyle w:val="a8"/>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152400" cy="0"/>
              <wp:effectExtent l="0" t="0" r="0" b="0"/>
              <wp:wrapSquare wrapText="bothSides" distT="0" distB="0" distL="0" distR="0"/>
              <wp:docPr id="1" name="Picture 1"/>
              <wp:cNvGraphicFramePr/>
              <a:graphic xmlns:a="http://schemas.openxmlformats.org/drawingml/2006/main">
                <a:graphicData uri="http://schemas.microsoft.com/office/word/2010/wordprocessingShape">
                  <wps:wsp>
                    <wps:cNvSpPr txBox="1"/>
                    <wps:spPr>
                      <a:xfrm>
                        <a:off x="0" y="0"/>
                        <a:ext cx="152400" cy="0"/>
                      </a:xfrm>
                      <a:prstGeom prst="rect">
                        <a:avLst/>
                      </a:prstGeom>
                    </wps:spPr>
                    <wps:txbx>
                      <w:txbxContent>
                        <w:p w:rsidR="00B126B9" w:rsidRDefault="00B50589">
                          <w:pPr>
                            <w:pStyle w:val="a8"/>
                            <w:rPr>
                              <w:rStyle w:val="a5"/>
                            </w:rPr>
                          </w:pPr>
                          <w:r>
                            <w:rPr>
                              <w:rStyle w:val="a5"/>
                            </w:rPr>
                            <w:fldChar w:fldCharType="begin"/>
                          </w:r>
                          <w:r>
                            <w:rPr>
                              <w:rStyle w:val="a5"/>
                            </w:rPr>
                            <w:instrText xml:space="preserve">PAGE </w:instrText>
                          </w:r>
                          <w:r>
                            <w:rPr>
                              <w:rStyle w:val="a5"/>
                            </w:rPr>
                            <w:fldChar w:fldCharType="separate"/>
                          </w:r>
                          <w:r w:rsidR="009A5079">
                            <w:rPr>
                              <w:rStyle w:val="a5"/>
                              <w:noProof/>
                            </w:rPr>
                            <w:t>22</w:t>
                          </w:r>
                          <w:r>
                            <w:rPr>
                              <w:rStyle w:val="a5"/>
                            </w:rPr>
                            <w:fldChar w:fldCharType="end"/>
                          </w:r>
                        </w:p>
                      </w:txbxContent>
                    </wps:txbx>
                    <wps:bodyPr vert="horz" wrap="square"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Picture 1" o:spid="_x0000_s1027" type="#_x0000_t202" style="position:absolute;margin-left:0;margin-top:.05pt;width:12pt;height:0;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" filled="f" stroked="f">
              <v:textbox style="mso-fit-shape-to-text:t" inset="0,0,0,0">
                <w:txbxContent>
                  <w:p w:rsidR="00B126B9" w:rsidRDefault="00B50589">
                    <w:pPr>
                      <w:pStyle w:val="a8"/>
                      <w:rPr>
                        <w:rStyle w:val="a5"/>
                      </w:rPr>
                    </w:pPr>
                    <w:r>
                      <w:rPr>
                        <w:rStyle w:val="a5"/>
                      </w:rPr>
                      <w:fldChar w:fldCharType="begin"/>
                    </w:r>
                    <w:r>
                      <w:rPr>
                        <w:rStyle w:val="a5"/>
                      </w:rPr>
                      <w:instrText xml:space="preserve">PAGE </w:instrText>
                    </w:r>
                    <w:r>
                      <w:rPr>
                        <w:rStyle w:val="a5"/>
                      </w:rPr>
                      <w:fldChar w:fldCharType="separate"/>
                    </w:r>
                    <w:r w:rsidR="009A5079">
                      <w:rPr>
                        <w:rStyle w:val="a5"/>
                        <w:noProof/>
                      </w:rPr>
                      <w:t>22</w:t>
                    </w:r>
                    <w:r>
                      <w:rPr>
                        <w:rStyle w:val="a5"/>
                      </w:rPr>
                      <w:fldChar w:fldCharType="end"/>
                    </w:r>
                  </w:p>
                </w:txbxContent>
              </v:textbox>
              <w10:wrap type="square"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3D1024"/>
    <w:multiLevelType w:val="multilevel"/>
    <w:tmpl w:val="D2FEF32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nsid w:val="752C659E"/>
    <w:multiLevelType w:val="multilevel"/>
    <w:tmpl w:val="38BE5290"/>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
  <w:rsids>
    <w:rsidRoot w:val="00B126B9"/>
    <w:rsid w:val="00043E13"/>
    <w:rsid w:val="001108E9"/>
    <w:rsid w:val="001D27C1"/>
    <w:rsid w:val="006559CF"/>
    <w:rsid w:val="006C1748"/>
    <w:rsid w:val="006F7AAE"/>
    <w:rsid w:val="008567BD"/>
    <w:rsid w:val="0091504D"/>
    <w:rsid w:val="009A5079"/>
    <w:rsid w:val="00B126B9"/>
    <w:rsid w:val="00B50589"/>
    <w:rsid w:val="00DF34E0"/>
    <w:rsid w:val="00E77E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No Spacing"/>
    <w:link w:val="a4"/>
    <w:rPr>
      <w:sz w:val="22"/>
    </w:rPr>
  </w:style>
  <w:style w:type="character" w:customStyle="1" w:styleId="a4">
    <w:name w:val="Без интервала Знак"/>
    <w:link w:val="a3"/>
    <w:rPr>
      <w:sz w:val="22"/>
    </w:rPr>
  </w:style>
  <w:style w:type="paragraph" w:customStyle="1" w:styleId="12">
    <w:name w:val="Номер страницы1"/>
    <w:basedOn w:val="13"/>
    <w:link w:val="a5"/>
  </w:style>
  <w:style w:type="character" w:styleId="a5">
    <w:name w:val="page number"/>
    <w:basedOn w:val="a0"/>
    <w:link w:val="12"/>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6">
    <w:name w:val="footer"/>
    <w:basedOn w:val="a"/>
    <w:link w:val="a7"/>
    <w:pPr>
      <w:tabs>
        <w:tab w:val="center" w:pos="4677"/>
        <w:tab w:val="right" w:pos="9355"/>
      </w:tabs>
    </w:pPr>
  </w:style>
  <w:style w:type="character" w:customStyle="1" w:styleId="a7">
    <w:name w:val="Нижний колонтитул Знак"/>
    <w:basedOn w:val="1"/>
    <w:link w:val="a6"/>
    <w:rPr>
      <w:rFonts w:ascii="Times New Roman" w:hAnsi="Times New Roman"/>
      <w:sz w:val="24"/>
    </w:rPr>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styleId="33">
    <w:name w:val="Body Text Indent 3"/>
    <w:basedOn w:val="a"/>
    <w:link w:val="34"/>
    <w:pPr>
      <w:ind w:right="-62" w:firstLine="900"/>
      <w:jc w:val="both"/>
    </w:pPr>
    <w:rPr>
      <w:sz w:val="28"/>
    </w:rPr>
  </w:style>
  <w:style w:type="character" w:customStyle="1" w:styleId="34">
    <w:name w:val="Основной текст с отступом 3 Знак"/>
    <w:basedOn w:val="1"/>
    <w:link w:val="33"/>
    <w:rPr>
      <w:rFonts w:ascii="Times New Roman" w:hAnsi="Times New Roman"/>
      <w:sz w:val="28"/>
    </w:rPr>
  </w:style>
  <w:style w:type="paragraph" w:customStyle="1" w:styleId="14">
    <w:name w:val="Гиперссылка1"/>
    <w:basedOn w:val="13"/>
    <w:link w:val="aa"/>
    <w:rPr>
      <w:color w:val="0000FF" w:themeColor="hyperlink"/>
      <w:u w:val="single"/>
    </w:rPr>
  </w:style>
  <w:style w:type="character" w:styleId="aa">
    <w:name w:val="Hyperlink"/>
    <w:basedOn w:val="a0"/>
    <w:link w:val="14"/>
    <w:rPr>
      <w:color w:val="0000FF" w:themeColor="hyperlink"/>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FontStyle18">
    <w:name w:val="Font Style18"/>
    <w:link w:val="FontStyle180"/>
    <w:rPr>
      <w:rFonts w:ascii="Arial" w:hAnsi="Arial"/>
      <w:sz w:val="22"/>
    </w:rPr>
  </w:style>
  <w:style w:type="character" w:customStyle="1" w:styleId="FontStyle180">
    <w:name w:val="Font Style18"/>
    <w:link w:val="FontStyle18"/>
    <w:rPr>
      <w:rFonts w:ascii="Arial" w:hAnsi="Arial"/>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b">
    <w:name w:val="Body Text"/>
    <w:basedOn w:val="a"/>
    <w:link w:val="ac"/>
    <w:pPr>
      <w:spacing w:after="120"/>
    </w:pPr>
  </w:style>
  <w:style w:type="character" w:customStyle="1" w:styleId="ac">
    <w:name w:val="Основной текст Знак"/>
    <w:basedOn w:val="1"/>
    <w:link w:val="ab"/>
    <w:rPr>
      <w:rFonts w:ascii="Times New Roman" w:hAnsi="Times New Roman"/>
      <w:color w:val="000000"/>
      <w:sz w:val="24"/>
    </w:rPr>
  </w:style>
  <w:style w:type="paragraph" w:styleId="ad">
    <w:name w:val="Body Text Indent"/>
    <w:basedOn w:val="a"/>
    <w:link w:val="ae"/>
    <w:pPr>
      <w:spacing w:after="120"/>
      <w:ind w:left="283"/>
    </w:pPr>
  </w:style>
  <w:style w:type="character" w:customStyle="1" w:styleId="ae">
    <w:name w:val="Основной текст с отступом Знак"/>
    <w:basedOn w:val="1"/>
    <w:link w:val="ad"/>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f">
    <w:name w:val="Subtitle"/>
    <w:next w:val="a"/>
    <w:link w:val="af0"/>
    <w:uiPriority w:val="11"/>
    <w:qFormat/>
    <w:pPr>
      <w:jc w:val="both"/>
    </w:pPr>
    <w:rPr>
      <w:rFonts w:ascii="XO Thames" w:hAnsi="XO Thames"/>
      <w:i/>
      <w:sz w:val="24"/>
    </w:rPr>
  </w:style>
  <w:style w:type="character" w:customStyle="1" w:styleId="af0">
    <w:name w:val="Подзаголовок Знак"/>
    <w:link w:val="af"/>
    <w:rPr>
      <w:rFonts w:ascii="XO Thames" w:hAnsi="XO Thames"/>
      <w:i/>
      <w:sz w:val="24"/>
    </w:rPr>
  </w:style>
  <w:style w:type="paragraph" w:styleId="af1">
    <w:name w:val="Title"/>
    <w:next w:val="a"/>
    <w:link w:val="af2"/>
    <w:uiPriority w:val="10"/>
    <w:qFormat/>
    <w:pPr>
      <w:spacing w:before="567" w:after="567"/>
      <w:jc w:val="center"/>
    </w:pPr>
    <w:rPr>
      <w:rFonts w:ascii="XO Thames" w:hAnsi="XO Thames"/>
      <w:b/>
      <w:caps/>
      <w:sz w:val="40"/>
    </w:rPr>
  </w:style>
  <w:style w:type="character" w:customStyle="1" w:styleId="af2">
    <w:name w:val="Название Знак"/>
    <w:link w:val="af1"/>
    <w:rPr>
      <w:rFonts w:ascii="XO Thames" w:hAnsi="XO Thames"/>
      <w:b/>
      <w:caps/>
      <w:sz w:val="40"/>
    </w:rPr>
  </w:style>
  <w:style w:type="paragraph" w:styleId="af3">
    <w:name w:val="Balloon Text"/>
    <w:basedOn w:val="a"/>
    <w:link w:val="af4"/>
    <w:rPr>
      <w:rFonts w:ascii="Tahoma" w:hAnsi="Tahoma"/>
      <w:sz w:val="16"/>
    </w:rPr>
  </w:style>
  <w:style w:type="character" w:customStyle="1" w:styleId="af4">
    <w:name w:val="Текст выноски Знак"/>
    <w:basedOn w:val="1"/>
    <w:link w:val="af3"/>
    <w:rPr>
      <w:rFonts w:ascii="Tahoma" w:hAnsi="Tahoma"/>
      <w:sz w:val="16"/>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No Spacing"/>
    <w:link w:val="a4"/>
    <w:rPr>
      <w:sz w:val="22"/>
    </w:rPr>
  </w:style>
  <w:style w:type="character" w:customStyle="1" w:styleId="a4">
    <w:name w:val="Без интервала Знак"/>
    <w:link w:val="a3"/>
    <w:rPr>
      <w:sz w:val="22"/>
    </w:rPr>
  </w:style>
  <w:style w:type="paragraph" w:customStyle="1" w:styleId="12">
    <w:name w:val="Номер страницы1"/>
    <w:basedOn w:val="13"/>
    <w:link w:val="a5"/>
  </w:style>
  <w:style w:type="character" w:styleId="a5">
    <w:name w:val="page number"/>
    <w:basedOn w:val="a0"/>
    <w:link w:val="12"/>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6">
    <w:name w:val="footer"/>
    <w:basedOn w:val="a"/>
    <w:link w:val="a7"/>
    <w:pPr>
      <w:tabs>
        <w:tab w:val="center" w:pos="4677"/>
        <w:tab w:val="right" w:pos="9355"/>
      </w:tabs>
    </w:pPr>
  </w:style>
  <w:style w:type="character" w:customStyle="1" w:styleId="a7">
    <w:name w:val="Нижний колонтитул Знак"/>
    <w:basedOn w:val="1"/>
    <w:link w:val="a6"/>
    <w:rPr>
      <w:rFonts w:ascii="Times New Roman" w:hAnsi="Times New Roman"/>
      <w:sz w:val="24"/>
    </w:rPr>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styleId="33">
    <w:name w:val="Body Text Indent 3"/>
    <w:basedOn w:val="a"/>
    <w:link w:val="34"/>
    <w:pPr>
      <w:ind w:right="-62" w:firstLine="900"/>
      <w:jc w:val="both"/>
    </w:pPr>
    <w:rPr>
      <w:sz w:val="28"/>
    </w:rPr>
  </w:style>
  <w:style w:type="character" w:customStyle="1" w:styleId="34">
    <w:name w:val="Основной текст с отступом 3 Знак"/>
    <w:basedOn w:val="1"/>
    <w:link w:val="33"/>
    <w:rPr>
      <w:rFonts w:ascii="Times New Roman" w:hAnsi="Times New Roman"/>
      <w:sz w:val="28"/>
    </w:rPr>
  </w:style>
  <w:style w:type="paragraph" w:customStyle="1" w:styleId="14">
    <w:name w:val="Гиперссылка1"/>
    <w:basedOn w:val="13"/>
    <w:link w:val="aa"/>
    <w:rPr>
      <w:color w:val="0000FF" w:themeColor="hyperlink"/>
      <w:u w:val="single"/>
    </w:rPr>
  </w:style>
  <w:style w:type="character" w:styleId="aa">
    <w:name w:val="Hyperlink"/>
    <w:basedOn w:val="a0"/>
    <w:link w:val="14"/>
    <w:rPr>
      <w:color w:val="0000FF" w:themeColor="hyperlink"/>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FontStyle18">
    <w:name w:val="Font Style18"/>
    <w:link w:val="FontStyle180"/>
    <w:rPr>
      <w:rFonts w:ascii="Arial" w:hAnsi="Arial"/>
      <w:sz w:val="22"/>
    </w:rPr>
  </w:style>
  <w:style w:type="character" w:customStyle="1" w:styleId="FontStyle180">
    <w:name w:val="Font Style18"/>
    <w:link w:val="FontStyle18"/>
    <w:rPr>
      <w:rFonts w:ascii="Arial" w:hAnsi="Arial"/>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b">
    <w:name w:val="Body Text"/>
    <w:basedOn w:val="a"/>
    <w:link w:val="ac"/>
    <w:pPr>
      <w:spacing w:after="120"/>
    </w:pPr>
  </w:style>
  <w:style w:type="character" w:customStyle="1" w:styleId="ac">
    <w:name w:val="Основной текст Знак"/>
    <w:basedOn w:val="1"/>
    <w:link w:val="ab"/>
    <w:rPr>
      <w:rFonts w:ascii="Times New Roman" w:hAnsi="Times New Roman"/>
      <w:color w:val="000000"/>
      <w:sz w:val="24"/>
    </w:rPr>
  </w:style>
  <w:style w:type="paragraph" w:styleId="ad">
    <w:name w:val="Body Text Indent"/>
    <w:basedOn w:val="a"/>
    <w:link w:val="ae"/>
    <w:pPr>
      <w:spacing w:after="120"/>
      <w:ind w:left="283"/>
    </w:pPr>
  </w:style>
  <w:style w:type="character" w:customStyle="1" w:styleId="ae">
    <w:name w:val="Основной текст с отступом Знак"/>
    <w:basedOn w:val="1"/>
    <w:link w:val="ad"/>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f">
    <w:name w:val="Subtitle"/>
    <w:next w:val="a"/>
    <w:link w:val="af0"/>
    <w:uiPriority w:val="11"/>
    <w:qFormat/>
    <w:pPr>
      <w:jc w:val="both"/>
    </w:pPr>
    <w:rPr>
      <w:rFonts w:ascii="XO Thames" w:hAnsi="XO Thames"/>
      <w:i/>
      <w:sz w:val="24"/>
    </w:rPr>
  </w:style>
  <w:style w:type="character" w:customStyle="1" w:styleId="af0">
    <w:name w:val="Подзаголовок Знак"/>
    <w:link w:val="af"/>
    <w:rPr>
      <w:rFonts w:ascii="XO Thames" w:hAnsi="XO Thames"/>
      <w:i/>
      <w:sz w:val="24"/>
    </w:rPr>
  </w:style>
  <w:style w:type="paragraph" w:styleId="af1">
    <w:name w:val="Title"/>
    <w:next w:val="a"/>
    <w:link w:val="af2"/>
    <w:uiPriority w:val="10"/>
    <w:qFormat/>
    <w:pPr>
      <w:spacing w:before="567" w:after="567"/>
      <w:jc w:val="center"/>
    </w:pPr>
    <w:rPr>
      <w:rFonts w:ascii="XO Thames" w:hAnsi="XO Thames"/>
      <w:b/>
      <w:caps/>
      <w:sz w:val="40"/>
    </w:rPr>
  </w:style>
  <w:style w:type="character" w:customStyle="1" w:styleId="af2">
    <w:name w:val="Название Знак"/>
    <w:link w:val="af1"/>
    <w:rPr>
      <w:rFonts w:ascii="XO Thames" w:hAnsi="XO Thames"/>
      <w:b/>
      <w:caps/>
      <w:sz w:val="40"/>
    </w:rPr>
  </w:style>
  <w:style w:type="paragraph" w:styleId="af3">
    <w:name w:val="Balloon Text"/>
    <w:basedOn w:val="a"/>
    <w:link w:val="af4"/>
    <w:rPr>
      <w:rFonts w:ascii="Tahoma" w:hAnsi="Tahoma"/>
      <w:sz w:val="16"/>
    </w:rPr>
  </w:style>
  <w:style w:type="character" w:customStyle="1" w:styleId="af4">
    <w:name w:val="Текст выноски Знак"/>
    <w:basedOn w:val="1"/>
    <w:link w:val="af3"/>
    <w:rPr>
      <w:rFonts w:ascii="Tahoma" w:hAnsi="Tahoma"/>
      <w:sz w:val="16"/>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30</Pages>
  <Words>10376</Words>
  <Characters>59144</Characters>
  <Application>Microsoft Office Word</Application>
  <DocSecurity>0</DocSecurity>
  <Lines>492</Lines>
  <Paragraphs>138</Paragraphs>
  <ScaleCrop>false</ScaleCrop>
  <Company/>
  <LinksUpToDate>false</LinksUpToDate>
  <CharactersWithSpaces>69382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MalievAV</cp:lastModifiedBy>
  <cp:revision>8</cp:revision>
  <dcterms:created xsi:type="dcterms:W3CDTF">2025-10-21T14:17:00Z</dcterms:created>
  <dcterms:modified xsi:type="dcterms:W3CDTF">2025-10-21T17:23:00Z</dcterms:modified>
</cp:coreProperties>
</file>